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8DCF7" w14:textId="1473D679" w:rsidR="008E11DA" w:rsidRPr="00127057" w:rsidRDefault="00B16197" w:rsidP="008E11DA">
      <w:pPr>
        <w:pStyle w:val="Naslov4"/>
        <w:spacing w:after="0"/>
      </w:pPr>
      <w:bookmarkStart w:id="0" w:name="_GoBack"/>
      <w:bookmarkEnd w:id="0"/>
      <w:r>
        <w:t xml:space="preserve">NAZIV KT: </w:t>
      </w:r>
      <w:r w:rsidR="0058748A">
        <w:t>KAZNIONICA U LEPOGLAVI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2F27CF29" w14:textId="77777777" w:rsidR="008E11DA" w:rsidRPr="007F2A5B" w:rsidRDefault="008E11DA" w:rsidP="008E11DA">
      <w:pPr>
        <w:spacing w:after="0"/>
        <w:rPr>
          <w:sz w:val="24"/>
          <w:szCs w:val="24"/>
        </w:rPr>
      </w:pPr>
    </w:p>
    <w:tbl>
      <w:tblPr>
        <w:tblStyle w:val="StilTablice"/>
        <w:tblW w:w="8906" w:type="dxa"/>
        <w:jc w:val="center"/>
        <w:tblLook w:val="04A0" w:firstRow="1" w:lastRow="0" w:firstColumn="1" w:lastColumn="0" w:noHBand="0" w:noVBand="1"/>
      </w:tblPr>
      <w:tblGrid>
        <w:gridCol w:w="1403"/>
        <w:gridCol w:w="1504"/>
        <w:gridCol w:w="1494"/>
        <w:gridCol w:w="1494"/>
        <w:gridCol w:w="1679"/>
        <w:gridCol w:w="1332"/>
      </w:tblGrid>
      <w:tr w:rsidR="00B16197" w:rsidRPr="007F2A5B" w14:paraId="7DD0AD33" w14:textId="77777777" w:rsidTr="007F2A5B">
        <w:trPr>
          <w:trHeight w:val="1007"/>
          <w:jc w:val="center"/>
        </w:trPr>
        <w:tc>
          <w:tcPr>
            <w:tcW w:w="1414" w:type="dxa"/>
            <w:shd w:val="clear" w:color="auto" w:fill="B5C0D8"/>
          </w:tcPr>
          <w:p w14:paraId="2543132A" w14:textId="77777777" w:rsidR="00B16197" w:rsidRPr="007F2A5B" w:rsidRDefault="00B16197" w:rsidP="007F2A5B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bookmarkStart w:id="1" w:name="_Hlk162530135"/>
            <w:bookmarkStart w:id="2" w:name="_Hlk135807407"/>
            <w:r w:rsidRPr="007F2A5B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04" w:type="dxa"/>
            <w:shd w:val="clear" w:color="auto" w:fill="B5C0D8"/>
          </w:tcPr>
          <w:p w14:paraId="1942FFBD" w14:textId="343E8A62" w:rsidR="00B16197" w:rsidRPr="007F2A5B" w:rsidRDefault="00B16197" w:rsidP="00942D8F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Izvršenje 202</w:t>
            </w:r>
            <w:r w:rsidR="00942D8F">
              <w:rPr>
                <w:rFonts w:cs="Times New Roman"/>
                <w:sz w:val="24"/>
                <w:szCs w:val="24"/>
              </w:rPr>
              <w:t>4</w:t>
            </w:r>
            <w:r w:rsidR="002301E5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4" w:type="dxa"/>
            <w:shd w:val="clear" w:color="auto" w:fill="B5C0D8"/>
          </w:tcPr>
          <w:p w14:paraId="3A59A218" w14:textId="590C3B3D" w:rsidR="00B16197" w:rsidRPr="007F2A5B" w:rsidRDefault="00B16197" w:rsidP="00942D8F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Plan 202</w:t>
            </w:r>
            <w:r w:rsidR="00942D8F">
              <w:rPr>
                <w:rFonts w:cs="Times New Roman"/>
                <w:sz w:val="24"/>
                <w:szCs w:val="24"/>
              </w:rPr>
              <w:t>5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shd w:val="clear" w:color="auto" w:fill="B5C0D8"/>
          </w:tcPr>
          <w:p w14:paraId="1BAC418C" w14:textId="30FDBB99" w:rsidR="00B16197" w:rsidRPr="007F2A5B" w:rsidRDefault="00B16197" w:rsidP="00942D8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Izvršenje 202</w:t>
            </w:r>
            <w:r w:rsidR="00942D8F">
              <w:rPr>
                <w:rFonts w:cs="Times New Roman"/>
                <w:sz w:val="24"/>
                <w:szCs w:val="24"/>
              </w:rPr>
              <w:t>5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B5C0D8"/>
          </w:tcPr>
          <w:p w14:paraId="7185B53F" w14:textId="15466669" w:rsidR="007F2A5B" w:rsidRDefault="00B16197" w:rsidP="007F2A5B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Indeks izvršenje 202</w:t>
            </w:r>
            <w:r w:rsidR="00942D8F">
              <w:rPr>
                <w:rFonts w:cs="Times New Roman"/>
                <w:sz w:val="24"/>
                <w:szCs w:val="24"/>
              </w:rPr>
              <w:t>5</w:t>
            </w:r>
            <w:r w:rsidRPr="007F2A5B">
              <w:rPr>
                <w:rFonts w:cs="Times New Roman"/>
                <w:sz w:val="24"/>
                <w:szCs w:val="24"/>
              </w:rPr>
              <w:t>./</w:t>
            </w:r>
          </w:p>
          <w:p w14:paraId="3A5B4EA2" w14:textId="75C8FFF2" w:rsidR="00B16197" w:rsidRPr="007F2A5B" w:rsidRDefault="00B16197" w:rsidP="00942D8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plan 202</w:t>
            </w:r>
            <w:r w:rsidR="00942D8F">
              <w:rPr>
                <w:rFonts w:cs="Times New Roman"/>
                <w:sz w:val="24"/>
                <w:szCs w:val="24"/>
              </w:rPr>
              <w:t>5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  <w:shd w:val="clear" w:color="auto" w:fill="B5C0D8"/>
          </w:tcPr>
          <w:p w14:paraId="5BE46E39" w14:textId="757DB49D" w:rsidR="00B16197" w:rsidRPr="007F2A5B" w:rsidRDefault="00B16197" w:rsidP="00942D8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Indeks izvršenje 202</w:t>
            </w:r>
            <w:r w:rsidR="00942D8F">
              <w:rPr>
                <w:rFonts w:cs="Times New Roman"/>
                <w:sz w:val="24"/>
                <w:szCs w:val="24"/>
              </w:rPr>
              <w:t>5</w:t>
            </w:r>
            <w:r w:rsidRPr="007F2A5B">
              <w:rPr>
                <w:rFonts w:cs="Times New Roman"/>
                <w:sz w:val="24"/>
                <w:szCs w:val="24"/>
              </w:rPr>
              <w:t>./202</w:t>
            </w:r>
            <w:r w:rsidR="00942D8F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</w:tr>
      <w:bookmarkEnd w:id="1"/>
      <w:tr w:rsidR="00B16197" w:rsidRPr="007F2A5B" w14:paraId="24C90181" w14:textId="77777777" w:rsidTr="007F2A5B">
        <w:trPr>
          <w:trHeight w:val="343"/>
          <w:jc w:val="center"/>
        </w:trPr>
        <w:tc>
          <w:tcPr>
            <w:tcW w:w="1414" w:type="dxa"/>
            <w:vAlign w:val="top"/>
          </w:tcPr>
          <w:p w14:paraId="49916E25" w14:textId="696C0743" w:rsidR="00B16197" w:rsidRPr="007F2A5B" w:rsidRDefault="00B16197" w:rsidP="00127057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  <w:r w:rsidRPr="007F2A5B">
              <w:rPr>
                <w:b w:val="0"/>
                <w:bCs w:val="0"/>
                <w:i/>
                <w:iCs/>
                <w:sz w:val="24"/>
                <w:szCs w:val="24"/>
              </w:rPr>
              <w:t>A630000</w:t>
            </w:r>
          </w:p>
        </w:tc>
        <w:tc>
          <w:tcPr>
            <w:tcW w:w="1504" w:type="dxa"/>
            <w:vAlign w:val="top"/>
          </w:tcPr>
          <w:p w14:paraId="6B3B5B94" w14:textId="1BAD718F" w:rsidR="00B16197" w:rsidRPr="007F2A5B" w:rsidRDefault="00942D8F" w:rsidP="0085471D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16.</w:t>
            </w:r>
            <w:r w:rsidR="0085471D">
              <w:rPr>
                <w:sz w:val="24"/>
                <w:szCs w:val="24"/>
              </w:rPr>
              <w:t>723.281,02</w:t>
            </w:r>
          </w:p>
        </w:tc>
        <w:tc>
          <w:tcPr>
            <w:tcW w:w="1494" w:type="dxa"/>
            <w:vAlign w:val="top"/>
          </w:tcPr>
          <w:p w14:paraId="5F352A4F" w14:textId="209BDF66" w:rsidR="00B16197" w:rsidRPr="007F2A5B" w:rsidRDefault="00942D8F" w:rsidP="0085471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</w:t>
            </w:r>
            <w:r w:rsidR="0085471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3.500,00</w:t>
            </w:r>
          </w:p>
        </w:tc>
        <w:tc>
          <w:tcPr>
            <w:tcW w:w="1459" w:type="dxa"/>
            <w:vAlign w:val="top"/>
          </w:tcPr>
          <w:p w14:paraId="15A5081F" w14:textId="1A9D5B4E" w:rsidR="00B16197" w:rsidRPr="007F2A5B" w:rsidRDefault="00942D8F" w:rsidP="0085471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85471D">
              <w:rPr>
                <w:sz w:val="24"/>
                <w:szCs w:val="24"/>
              </w:rPr>
              <w:t>242.153,95</w:t>
            </w:r>
          </w:p>
        </w:tc>
        <w:tc>
          <w:tcPr>
            <w:tcW w:w="1701" w:type="dxa"/>
            <w:vAlign w:val="top"/>
          </w:tcPr>
          <w:p w14:paraId="7735448E" w14:textId="4496F065" w:rsidR="00B16197" w:rsidRPr="007F2A5B" w:rsidRDefault="00942D8F" w:rsidP="003567C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  <w:r w:rsidR="003567CB">
              <w:rPr>
                <w:sz w:val="24"/>
                <w:szCs w:val="24"/>
              </w:rPr>
              <w:t>7</w:t>
            </w:r>
          </w:p>
        </w:tc>
        <w:tc>
          <w:tcPr>
            <w:tcW w:w="1334" w:type="dxa"/>
            <w:vAlign w:val="top"/>
          </w:tcPr>
          <w:p w14:paraId="5193FDBC" w14:textId="73FEDF3E" w:rsidR="00B16197" w:rsidRPr="007F2A5B" w:rsidRDefault="00942D8F" w:rsidP="003567C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</w:t>
            </w:r>
            <w:r w:rsidR="003567CB">
              <w:rPr>
                <w:sz w:val="24"/>
                <w:szCs w:val="24"/>
              </w:rPr>
              <w:t>08</w:t>
            </w:r>
          </w:p>
        </w:tc>
      </w:tr>
      <w:bookmarkEnd w:id="2"/>
    </w:tbl>
    <w:p w14:paraId="4E4B85B5" w14:textId="77777777" w:rsidR="008E11DA" w:rsidRPr="007F2A5B" w:rsidRDefault="008E11DA" w:rsidP="008E11DA">
      <w:pPr>
        <w:spacing w:after="0"/>
        <w:jc w:val="left"/>
        <w:rPr>
          <w:sz w:val="24"/>
          <w:szCs w:val="24"/>
        </w:rPr>
      </w:pPr>
    </w:p>
    <w:p w14:paraId="3D000502" w14:textId="16505270" w:rsidR="00907DE9" w:rsidRPr="007F2A5B" w:rsidRDefault="009C78B2" w:rsidP="00A51F15">
      <w:pPr>
        <w:spacing w:after="0" w:line="276" w:lineRule="auto"/>
        <w:ind w:firstLine="708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>U okviru ove aktivnosti  sredstva  su utrošena za financiranje rashoda za zaposlene i materijalnih rashoda potrebnih za redovan rad i funkcioniranje zatvorskog sustava.</w:t>
      </w:r>
    </w:p>
    <w:p w14:paraId="22775EAB" w14:textId="77777777" w:rsidR="009C78B2" w:rsidRDefault="009C78B2" w:rsidP="00A51F15">
      <w:pPr>
        <w:spacing w:after="0" w:line="276" w:lineRule="auto"/>
        <w:rPr>
          <w:sz w:val="24"/>
          <w:szCs w:val="24"/>
          <w:lang w:val="hr-HR"/>
        </w:rPr>
      </w:pPr>
    </w:p>
    <w:p w14:paraId="422A6E7F" w14:textId="77777777" w:rsidR="002E1CD1" w:rsidRPr="007F2A5B" w:rsidRDefault="002E1CD1" w:rsidP="00A51F15">
      <w:pPr>
        <w:spacing w:after="0" w:line="276" w:lineRule="auto"/>
        <w:rPr>
          <w:sz w:val="24"/>
          <w:szCs w:val="24"/>
          <w:lang w:val="hr-HR"/>
        </w:rPr>
      </w:pPr>
    </w:p>
    <w:p w14:paraId="07AC770E" w14:textId="49277831" w:rsidR="00907DE9" w:rsidRPr="007F2A5B" w:rsidRDefault="00907DE9" w:rsidP="00A51F15">
      <w:pPr>
        <w:spacing w:after="0" w:line="276" w:lineRule="auto"/>
        <w:rPr>
          <w:b/>
          <w:sz w:val="24"/>
          <w:szCs w:val="24"/>
          <w:u w:val="single"/>
          <w:lang w:val="hr-HR"/>
        </w:rPr>
      </w:pPr>
      <w:r w:rsidRPr="007F2A5B">
        <w:rPr>
          <w:b/>
          <w:sz w:val="24"/>
          <w:szCs w:val="24"/>
          <w:u w:val="single"/>
          <w:lang w:val="hr-HR"/>
        </w:rPr>
        <w:t>Izvor 11</w:t>
      </w:r>
    </w:p>
    <w:p w14:paraId="16E8C0E3" w14:textId="77777777" w:rsidR="00780A30" w:rsidRPr="007F2A5B" w:rsidRDefault="00780A30" w:rsidP="00A51F15">
      <w:pPr>
        <w:spacing w:after="0" w:line="276" w:lineRule="auto"/>
        <w:rPr>
          <w:sz w:val="24"/>
          <w:szCs w:val="24"/>
          <w:lang w:val="hr-HR"/>
        </w:rPr>
      </w:pPr>
    </w:p>
    <w:p w14:paraId="439C55A8" w14:textId="2EF77C5A" w:rsidR="005F6067" w:rsidRPr="007F2A5B" w:rsidRDefault="00FD2A0E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b/>
          <w:sz w:val="24"/>
          <w:szCs w:val="24"/>
          <w:lang w:val="hr-HR"/>
        </w:rPr>
        <w:t>31 Rashodi za zaposlene</w:t>
      </w:r>
      <w:r w:rsidRPr="007F2A5B">
        <w:rPr>
          <w:sz w:val="24"/>
          <w:szCs w:val="24"/>
          <w:lang w:val="hr-HR"/>
        </w:rPr>
        <w:t xml:space="preserve"> – </w:t>
      </w:r>
      <w:r w:rsidR="005F6067" w:rsidRPr="007F2A5B">
        <w:rPr>
          <w:sz w:val="24"/>
          <w:szCs w:val="24"/>
          <w:lang w:val="hr-HR"/>
        </w:rPr>
        <w:t xml:space="preserve">plaće i doprinosi su ispaćeni su u prosjeku  za </w:t>
      </w:r>
      <w:r w:rsidR="00321B75" w:rsidRPr="007F2A5B">
        <w:rPr>
          <w:sz w:val="24"/>
          <w:szCs w:val="24"/>
          <w:lang w:val="hr-HR"/>
        </w:rPr>
        <w:t>37</w:t>
      </w:r>
      <w:r w:rsidR="00220639">
        <w:rPr>
          <w:sz w:val="24"/>
          <w:szCs w:val="24"/>
          <w:lang w:val="hr-HR"/>
        </w:rPr>
        <w:t>6</w:t>
      </w:r>
      <w:r w:rsidR="005F6067" w:rsidRPr="007F2A5B">
        <w:rPr>
          <w:sz w:val="24"/>
          <w:szCs w:val="24"/>
          <w:lang w:val="hr-HR"/>
        </w:rPr>
        <w:t xml:space="preserve"> </w:t>
      </w:r>
      <w:r w:rsidR="00321B75" w:rsidRPr="007F2A5B">
        <w:rPr>
          <w:sz w:val="24"/>
          <w:szCs w:val="24"/>
          <w:lang w:val="hr-HR"/>
        </w:rPr>
        <w:t>službenika i namještenika</w:t>
      </w:r>
      <w:r w:rsidR="005F6067" w:rsidRPr="007F2A5B">
        <w:rPr>
          <w:sz w:val="24"/>
          <w:szCs w:val="24"/>
          <w:lang w:val="hr-HR"/>
        </w:rPr>
        <w:t xml:space="preserve">, trošak za prekovremeni rad nastao je zbog </w:t>
      </w:r>
      <w:proofErr w:type="spellStart"/>
      <w:r w:rsidR="005F6067" w:rsidRPr="007F2A5B">
        <w:rPr>
          <w:sz w:val="24"/>
          <w:szCs w:val="24"/>
          <w:lang w:val="hr-HR"/>
        </w:rPr>
        <w:t>nesrazmjera</w:t>
      </w:r>
      <w:proofErr w:type="spellEnd"/>
      <w:r w:rsidR="005F6067" w:rsidRPr="007F2A5B">
        <w:rPr>
          <w:sz w:val="24"/>
          <w:szCs w:val="24"/>
          <w:lang w:val="hr-HR"/>
        </w:rPr>
        <w:t xml:space="preserve"> broja službenika i obujma posla, posebno u odjelu osiguranja i odjelu za rad. </w:t>
      </w:r>
    </w:p>
    <w:p w14:paraId="668BC5DD" w14:textId="008F773F" w:rsidR="000822A2" w:rsidRPr="007F2A5B" w:rsidRDefault="000822A2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 xml:space="preserve">Plaće za redovan rad isplaćene su u iznosu od </w:t>
      </w:r>
      <w:r w:rsidR="00321B75" w:rsidRPr="007F2A5B">
        <w:rPr>
          <w:sz w:val="24"/>
          <w:szCs w:val="24"/>
          <w:lang w:val="hr-HR"/>
        </w:rPr>
        <w:t>9.</w:t>
      </w:r>
      <w:r w:rsidR="00220639">
        <w:rPr>
          <w:sz w:val="24"/>
          <w:szCs w:val="24"/>
          <w:lang w:val="hr-HR"/>
        </w:rPr>
        <w:t>778.990,28</w:t>
      </w:r>
      <w:r w:rsidRPr="007F2A5B">
        <w:rPr>
          <w:sz w:val="24"/>
          <w:szCs w:val="24"/>
          <w:lang w:val="hr-HR"/>
        </w:rPr>
        <w:t xml:space="preserve"> €</w:t>
      </w:r>
      <w:r w:rsidR="00F605D2">
        <w:rPr>
          <w:sz w:val="24"/>
          <w:szCs w:val="24"/>
          <w:lang w:val="hr-HR"/>
        </w:rPr>
        <w:t xml:space="preserve"> ( tokom 2025. godi</w:t>
      </w:r>
      <w:r w:rsidR="00E94109">
        <w:rPr>
          <w:sz w:val="24"/>
          <w:szCs w:val="24"/>
          <w:lang w:val="hr-HR"/>
        </w:rPr>
        <w:t>ne zaposleno je 34 službenika )</w:t>
      </w:r>
      <w:r w:rsidRPr="007F2A5B">
        <w:rPr>
          <w:sz w:val="24"/>
          <w:szCs w:val="24"/>
          <w:lang w:val="hr-HR"/>
        </w:rPr>
        <w:t xml:space="preserve">, plaće za prekovremeni rad isplaćene su u iznosu od </w:t>
      </w:r>
      <w:r w:rsidR="00220639">
        <w:rPr>
          <w:sz w:val="24"/>
          <w:szCs w:val="24"/>
          <w:lang w:val="hr-HR"/>
        </w:rPr>
        <w:t>932.573,23</w:t>
      </w:r>
      <w:r w:rsidRPr="007F2A5B">
        <w:rPr>
          <w:sz w:val="24"/>
          <w:szCs w:val="24"/>
          <w:lang w:val="hr-HR"/>
        </w:rPr>
        <w:t xml:space="preserve"> €</w:t>
      </w:r>
      <w:r w:rsidR="000E4DF7" w:rsidRPr="007F2A5B">
        <w:rPr>
          <w:sz w:val="24"/>
          <w:szCs w:val="24"/>
          <w:lang w:val="hr-HR"/>
        </w:rPr>
        <w:t xml:space="preserve">, doprinosi na plaće isplaćeni su u iznosu od </w:t>
      </w:r>
      <w:r w:rsidR="00220639">
        <w:rPr>
          <w:sz w:val="24"/>
          <w:szCs w:val="24"/>
          <w:lang w:val="hr-HR"/>
        </w:rPr>
        <w:t>2.817.624,00</w:t>
      </w:r>
      <w:r w:rsidR="000E4DF7" w:rsidRPr="007F2A5B">
        <w:rPr>
          <w:sz w:val="24"/>
          <w:szCs w:val="24"/>
          <w:lang w:val="hr-HR"/>
        </w:rPr>
        <w:t xml:space="preserve"> €</w:t>
      </w:r>
      <w:r w:rsidRPr="007F2A5B">
        <w:rPr>
          <w:sz w:val="24"/>
          <w:szCs w:val="24"/>
          <w:lang w:val="hr-HR"/>
        </w:rPr>
        <w:t xml:space="preserve">. </w:t>
      </w:r>
    </w:p>
    <w:p w14:paraId="1C020E2B" w14:textId="1E17ED29" w:rsidR="00EA3DA3" w:rsidRPr="007F2A5B" w:rsidRDefault="000822A2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>Ostali rashodi za zaposlene</w:t>
      </w:r>
      <w:r w:rsidR="00EA387B" w:rsidRPr="00EA387B">
        <w:t xml:space="preserve"> </w:t>
      </w:r>
      <w:r w:rsidR="00EA387B">
        <w:rPr>
          <w:sz w:val="24"/>
          <w:szCs w:val="24"/>
          <w:lang w:val="hr-HR"/>
        </w:rPr>
        <w:t>iznose</w:t>
      </w:r>
      <w:r w:rsidR="00EA387B" w:rsidRPr="00EA387B">
        <w:rPr>
          <w:sz w:val="24"/>
          <w:szCs w:val="24"/>
          <w:lang w:val="hr-HR"/>
        </w:rPr>
        <w:t xml:space="preserve"> 589.666,15 €</w:t>
      </w:r>
      <w:r w:rsidR="00EA387B">
        <w:rPr>
          <w:sz w:val="24"/>
          <w:szCs w:val="24"/>
          <w:lang w:val="hr-HR"/>
        </w:rPr>
        <w:t xml:space="preserve"> </w:t>
      </w:r>
      <w:r w:rsidRPr="007F2A5B">
        <w:rPr>
          <w:sz w:val="24"/>
          <w:szCs w:val="24"/>
          <w:lang w:val="hr-HR"/>
        </w:rPr>
        <w:t xml:space="preserve"> (</w:t>
      </w:r>
      <w:r w:rsidR="00EA387B">
        <w:rPr>
          <w:sz w:val="24"/>
          <w:szCs w:val="24"/>
          <w:lang w:val="hr-HR"/>
        </w:rPr>
        <w:t xml:space="preserve"> </w:t>
      </w:r>
      <w:r w:rsidR="00EA387B" w:rsidRPr="00EA387B">
        <w:rPr>
          <w:sz w:val="24"/>
          <w:szCs w:val="24"/>
          <w:lang w:val="hr-HR"/>
        </w:rPr>
        <w:t>isplaće</w:t>
      </w:r>
      <w:r w:rsidR="00EA387B">
        <w:rPr>
          <w:sz w:val="24"/>
          <w:szCs w:val="24"/>
          <w:lang w:val="hr-HR"/>
        </w:rPr>
        <w:t xml:space="preserve">n je regres za 385 službenika, božićnica za 384 službenika, </w:t>
      </w:r>
      <w:r w:rsidRPr="007F2A5B">
        <w:rPr>
          <w:sz w:val="24"/>
          <w:szCs w:val="24"/>
          <w:lang w:val="hr-HR"/>
        </w:rPr>
        <w:t>dar za djecu</w:t>
      </w:r>
      <w:r w:rsidR="00EA387B">
        <w:rPr>
          <w:sz w:val="24"/>
          <w:szCs w:val="24"/>
          <w:lang w:val="hr-HR"/>
        </w:rPr>
        <w:t xml:space="preserve"> za 178 djece</w:t>
      </w:r>
      <w:r w:rsidRPr="007F2A5B">
        <w:rPr>
          <w:sz w:val="24"/>
          <w:szCs w:val="24"/>
          <w:lang w:val="hr-HR"/>
        </w:rPr>
        <w:t>, jubilarne nagrade</w:t>
      </w:r>
      <w:r w:rsidR="00CF6B4D">
        <w:rPr>
          <w:sz w:val="24"/>
          <w:szCs w:val="24"/>
          <w:lang w:val="hr-HR"/>
        </w:rPr>
        <w:t xml:space="preserve"> za 40 službenika,</w:t>
      </w:r>
      <w:r w:rsidR="00D97728" w:rsidRPr="00D97728">
        <w:t xml:space="preserve"> </w:t>
      </w:r>
      <w:r w:rsidR="00D97728" w:rsidRPr="00D97728">
        <w:rPr>
          <w:sz w:val="24"/>
          <w:szCs w:val="24"/>
          <w:lang w:val="hr-HR"/>
        </w:rPr>
        <w:t xml:space="preserve">20 otpremnina po posebnim propisima, </w:t>
      </w:r>
      <w:r w:rsidR="00CF6B4D">
        <w:rPr>
          <w:sz w:val="24"/>
          <w:szCs w:val="24"/>
          <w:lang w:val="hr-HR"/>
        </w:rPr>
        <w:t xml:space="preserve"> te </w:t>
      </w:r>
      <w:r w:rsidR="00EA387B">
        <w:rPr>
          <w:sz w:val="24"/>
          <w:szCs w:val="24"/>
          <w:lang w:val="hr-HR"/>
        </w:rPr>
        <w:t xml:space="preserve">pomoći za bolovanja za 15 službenika, za smrtni slučaj za 19 službenika, rođenje djeteta za 8 službenika i za neiskorišteni godišnji odmor za 4 službenika </w:t>
      </w:r>
      <w:r w:rsidR="00AD1AC2">
        <w:rPr>
          <w:sz w:val="24"/>
          <w:szCs w:val="24"/>
          <w:lang w:val="hr-HR"/>
        </w:rPr>
        <w:t>).</w:t>
      </w:r>
    </w:p>
    <w:p w14:paraId="071D564D" w14:textId="57057CBA" w:rsidR="005F6067" w:rsidRPr="007F2A5B" w:rsidRDefault="000822A2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 xml:space="preserve"> </w:t>
      </w:r>
    </w:p>
    <w:p w14:paraId="742459D8" w14:textId="17865977" w:rsidR="00A6165A" w:rsidRPr="007F2A5B" w:rsidRDefault="00CC530A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b/>
          <w:sz w:val="24"/>
          <w:szCs w:val="24"/>
          <w:lang w:val="hr-HR"/>
        </w:rPr>
        <w:t>32 Materijalni rashodi</w:t>
      </w:r>
      <w:r w:rsidR="0053119B" w:rsidRPr="007F2A5B">
        <w:rPr>
          <w:sz w:val="24"/>
          <w:szCs w:val="24"/>
          <w:lang w:val="hr-HR"/>
        </w:rPr>
        <w:t xml:space="preserve"> </w:t>
      </w:r>
      <w:r w:rsidRPr="007F2A5B">
        <w:rPr>
          <w:sz w:val="24"/>
          <w:szCs w:val="24"/>
          <w:lang w:val="hr-HR"/>
        </w:rPr>
        <w:t xml:space="preserve"> </w:t>
      </w:r>
      <w:r w:rsidR="00626790" w:rsidRPr="007F2A5B">
        <w:rPr>
          <w:sz w:val="24"/>
          <w:szCs w:val="24"/>
          <w:lang w:val="hr-HR"/>
        </w:rPr>
        <w:t xml:space="preserve">- </w:t>
      </w:r>
      <w:r w:rsidR="00A6165A" w:rsidRPr="007F2A5B">
        <w:rPr>
          <w:sz w:val="24"/>
          <w:szCs w:val="24"/>
          <w:lang w:val="hr-HR"/>
        </w:rPr>
        <w:t>sredstva su utrošena</w:t>
      </w:r>
      <w:r w:rsidR="00992A6C" w:rsidRPr="007F2A5B">
        <w:rPr>
          <w:sz w:val="24"/>
          <w:szCs w:val="24"/>
          <w:lang w:val="hr-HR"/>
        </w:rPr>
        <w:t xml:space="preserve"> u iznosu od </w:t>
      </w:r>
      <w:r w:rsidR="00A0494A">
        <w:rPr>
          <w:sz w:val="24"/>
          <w:szCs w:val="24"/>
          <w:lang w:val="hr-HR"/>
        </w:rPr>
        <w:t>3.227.846,79</w:t>
      </w:r>
      <w:r w:rsidR="00992A6C" w:rsidRPr="007F2A5B">
        <w:rPr>
          <w:sz w:val="24"/>
          <w:szCs w:val="24"/>
          <w:lang w:val="hr-HR"/>
        </w:rPr>
        <w:t xml:space="preserve"> € i to za </w:t>
      </w:r>
      <w:r w:rsidR="00A6165A" w:rsidRPr="007F2A5B">
        <w:rPr>
          <w:sz w:val="24"/>
          <w:szCs w:val="24"/>
          <w:lang w:val="hr-HR"/>
        </w:rPr>
        <w:t>podmirenje naknada troškova zaposlenima,  za sistematski pregled zaposlenika Kaznionice,</w:t>
      </w:r>
      <w:r w:rsidR="00A6165A" w:rsidRPr="007F2A5B">
        <w:rPr>
          <w:sz w:val="24"/>
          <w:szCs w:val="24"/>
        </w:rPr>
        <w:t xml:space="preserve"> </w:t>
      </w:r>
      <w:r w:rsidR="00A6165A" w:rsidRPr="007F2A5B">
        <w:rPr>
          <w:sz w:val="24"/>
          <w:szCs w:val="24"/>
          <w:lang w:val="hr-HR"/>
        </w:rPr>
        <w:t>materijal i energiju</w:t>
      </w:r>
      <w:r w:rsidR="00992A6C" w:rsidRPr="007F2A5B">
        <w:rPr>
          <w:sz w:val="24"/>
          <w:szCs w:val="24"/>
          <w:lang w:val="hr-HR"/>
        </w:rPr>
        <w:t xml:space="preserve">, </w:t>
      </w:r>
      <w:r w:rsidR="00A6165A" w:rsidRPr="007F2A5B">
        <w:rPr>
          <w:sz w:val="24"/>
          <w:szCs w:val="24"/>
          <w:lang w:val="hr-HR"/>
        </w:rPr>
        <w:t>za usluge telefona, komu</w:t>
      </w:r>
      <w:r w:rsidR="00285983" w:rsidRPr="007F2A5B">
        <w:rPr>
          <w:sz w:val="24"/>
          <w:szCs w:val="24"/>
          <w:lang w:val="hr-HR"/>
        </w:rPr>
        <w:t>n</w:t>
      </w:r>
      <w:r w:rsidR="00A6165A" w:rsidRPr="007F2A5B">
        <w:rPr>
          <w:sz w:val="24"/>
          <w:szCs w:val="24"/>
          <w:lang w:val="hr-HR"/>
        </w:rPr>
        <w:t xml:space="preserve">alne i ostale  usluge, za namirnice za prehranu </w:t>
      </w:r>
      <w:r w:rsidR="00321B75" w:rsidRPr="007F2A5B">
        <w:rPr>
          <w:sz w:val="24"/>
          <w:szCs w:val="24"/>
          <w:lang w:val="hr-HR"/>
        </w:rPr>
        <w:t xml:space="preserve">prosječnog broja od </w:t>
      </w:r>
      <w:r w:rsidR="001448DD">
        <w:rPr>
          <w:sz w:val="24"/>
          <w:szCs w:val="24"/>
          <w:lang w:val="hr-HR"/>
        </w:rPr>
        <w:t>645</w:t>
      </w:r>
      <w:r w:rsidR="00321B75" w:rsidRPr="007F2A5B">
        <w:rPr>
          <w:sz w:val="24"/>
          <w:szCs w:val="24"/>
          <w:lang w:val="hr-HR"/>
        </w:rPr>
        <w:t xml:space="preserve"> </w:t>
      </w:r>
      <w:r w:rsidR="00992A6C" w:rsidRPr="007F2A5B">
        <w:rPr>
          <w:sz w:val="24"/>
          <w:szCs w:val="24"/>
          <w:lang w:val="hr-HR"/>
        </w:rPr>
        <w:t>zatv</w:t>
      </w:r>
      <w:r w:rsidR="00A6165A" w:rsidRPr="007F2A5B">
        <w:rPr>
          <w:sz w:val="24"/>
          <w:szCs w:val="24"/>
          <w:lang w:val="hr-HR"/>
        </w:rPr>
        <w:t xml:space="preserve">orenika, </w:t>
      </w:r>
      <w:proofErr w:type="spellStart"/>
      <w:r w:rsidR="00A6165A" w:rsidRPr="007F2A5B">
        <w:rPr>
          <w:sz w:val="24"/>
          <w:szCs w:val="24"/>
          <w:lang w:val="hr-HR"/>
        </w:rPr>
        <w:t>zaradnice</w:t>
      </w:r>
      <w:proofErr w:type="spellEnd"/>
      <w:r w:rsidR="00A6165A" w:rsidRPr="007F2A5B">
        <w:rPr>
          <w:sz w:val="24"/>
          <w:szCs w:val="24"/>
          <w:lang w:val="hr-HR"/>
        </w:rPr>
        <w:t xml:space="preserve"> zatvorenika, higijenske potrepštine te ostale nespomenute rashode poslovanja.</w:t>
      </w:r>
    </w:p>
    <w:p w14:paraId="54B6E086" w14:textId="0B449EE7" w:rsidR="000E4DF7" w:rsidRPr="007F2A5B" w:rsidRDefault="000E4DF7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 xml:space="preserve">Za naknade troškova zaposlenima isplaćeno je </w:t>
      </w:r>
      <w:r w:rsidR="00F42F4E">
        <w:rPr>
          <w:sz w:val="24"/>
          <w:szCs w:val="24"/>
          <w:lang w:val="hr-HR"/>
        </w:rPr>
        <w:t>309.906,84</w:t>
      </w:r>
      <w:r w:rsidRPr="007F2A5B">
        <w:rPr>
          <w:sz w:val="24"/>
          <w:szCs w:val="24"/>
          <w:lang w:val="hr-HR"/>
        </w:rPr>
        <w:t xml:space="preserve"> €, za rashode za materijal i energiju isplaćeno je </w:t>
      </w:r>
      <w:r w:rsidR="0052169A" w:rsidRPr="007F2A5B">
        <w:rPr>
          <w:sz w:val="24"/>
          <w:szCs w:val="24"/>
          <w:lang w:val="hr-HR"/>
        </w:rPr>
        <w:t>1.</w:t>
      </w:r>
      <w:r w:rsidR="001448DD">
        <w:rPr>
          <w:sz w:val="24"/>
          <w:szCs w:val="24"/>
          <w:lang w:val="hr-HR"/>
        </w:rPr>
        <w:t xml:space="preserve">951.040,55 </w:t>
      </w:r>
      <w:r w:rsidRPr="007F2A5B">
        <w:rPr>
          <w:sz w:val="24"/>
          <w:szCs w:val="24"/>
          <w:lang w:val="hr-HR"/>
        </w:rPr>
        <w:t xml:space="preserve"> €, za rashode za usluge isplaćeno je </w:t>
      </w:r>
      <w:r w:rsidR="001448DD">
        <w:rPr>
          <w:sz w:val="24"/>
          <w:szCs w:val="24"/>
          <w:lang w:val="hr-HR"/>
        </w:rPr>
        <w:t>723.478,11</w:t>
      </w:r>
      <w:r w:rsidRPr="007F2A5B">
        <w:rPr>
          <w:sz w:val="24"/>
          <w:szCs w:val="24"/>
          <w:lang w:val="hr-HR"/>
        </w:rPr>
        <w:t xml:space="preserve"> €, za ostale nespomenute rashode poslovanja isplaćeno je </w:t>
      </w:r>
      <w:r w:rsidR="001448DD">
        <w:rPr>
          <w:sz w:val="24"/>
          <w:szCs w:val="24"/>
          <w:lang w:val="hr-HR"/>
        </w:rPr>
        <w:t>243.421,29</w:t>
      </w:r>
      <w:r w:rsidRPr="007F2A5B">
        <w:rPr>
          <w:sz w:val="24"/>
          <w:szCs w:val="24"/>
          <w:lang w:val="hr-HR"/>
        </w:rPr>
        <w:t xml:space="preserve"> €.  </w:t>
      </w:r>
    </w:p>
    <w:p w14:paraId="400E0478" w14:textId="74CE46BC" w:rsidR="00D67468" w:rsidRPr="007F2A5B" w:rsidRDefault="00D67468" w:rsidP="00A51F15">
      <w:pPr>
        <w:spacing w:after="0" w:line="276" w:lineRule="auto"/>
        <w:rPr>
          <w:sz w:val="24"/>
          <w:szCs w:val="24"/>
          <w:lang w:val="hr-HR"/>
        </w:rPr>
      </w:pPr>
    </w:p>
    <w:p w14:paraId="5E8B1F1A" w14:textId="33DD9117" w:rsidR="00682EA5" w:rsidRPr="007F2A5B" w:rsidRDefault="00D67468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b/>
          <w:sz w:val="24"/>
          <w:szCs w:val="24"/>
          <w:lang w:val="hr-HR"/>
        </w:rPr>
        <w:t xml:space="preserve">34 </w:t>
      </w:r>
      <w:r w:rsidR="00EE6B33" w:rsidRPr="007F2A5B">
        <w:rPr>
          <w:b/>
          <w:sz w:val="24"/>
          <w:szCs w:val="24"/>
          <w:lang w:val="hr-HR"/>
        </w:rPr>
        <w:t xml:space="preserve">Financijski rashodi </w:t>
      </w:r>
      <w:r w:rsidR="00A6165A" w:rsidRPr="007F2A5B">
        <w:rPr>
          <w:sz w:val="24"/>
          <w:szCs w:val="24"/>
          <w:lang w:val="hr-HR"/>
        </w:rPr>
        <w:t>odnose se na bankarske usluge i usluge platnog prometa.</w:t>
      </w:r>
      <w:r w:rsidR="000E4DF7" w:rsidRPr="007F2A5B">
        <w:rPr>
          <w:sz w:val="24"/>
          <w:szCs w:val="24"/>
          <w:lang w:val="hr-HR"/>
        </w:rPr>
        <w:t xml:space="preserve"> Za financijske rashode je isplaćeno </w:t>
      </w:r>
      <w:r w:rsidR="001448DD">
        <w:rPr>
          <w:sz w:val="24"/>
          <w:szCs w:val="24"/>
          <w:lang w:val="hr-HR"/>
        </w:rPr>
        <w:t>3.380,81</w:t>
      </w:r>
      <w:r w:rsidR="000E4DF7" w:rsidRPr="007F2A5B">
        <w:rPr>
          <w:sz w:val="24"/>
          <w:szCs w:val="24"/>
          <w:lang w:val="hr-HR"/>
        </w:rPr>
        <w:t xml:space="preserve"> €. </w:t>
      </w:r>
    </w:p>
    <w:p w14:paraId="79C23D19" w14:textId="77777777" w:rsidR="00780A30" w:rsidRPr="007F2A5B" w:rsidRDefault="00780A30" w:rsidP="00A51F15">
      <w:pPr>
        <w:spacing w:after="0" w:line="276" w:lineRule="auto"/>
        <w:rPr>
          <w:b/>
          <w:sz w:val="24"/>
          <w:szCs w:val="24"/>
          <w:lang w:val="hr-HR"/>
        </w:rPr>
      </w:pPr>
    </w:p>
    <w:p w14:paraId="1A01384D" w14:textId="477319D0" w:rsidR="00285983" w:rsidRDefault="00FC6664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b/>
          <w:sz w:val="24"/>
          <w:szCs w:val="24"/>
          <w:lang w:val="hr-HR"/>
        </w:rPr>
        <w:t>42 Rashodi za nabavu proizvedene dugotrajne imovine</w:t>
      </w:r>
      <w:r w:rsidR="00CA16CE" w:rsidRPr="007F2A5B">
        <w:rPr>
          <w:sz w:val="24"/>
          <w:szCs w:val="24"/>
          <w:lang w:val="hr-HR"/>
        </w:rPr>
        <w:t xml:space="preserve"> </w:t>
      </w:r>
      <w:r w:rsidR="001C051D" w:rsidRPr="007F2A5B">
        <w:rPr>
          <w:sz w:val="24"/>
          <w:szCs w:val="24"/>
          <w:lang w:val="hr-HR"/>
        </w:rPr>
        <w:t>–</w:t>
      </w:r>
      <w:r w:rsidR="00CA16CE" w:rsidRPr="007F2A5B">
        <w:rPr>
          <w:sz w:val="24"/>
          <w:szCs w:val="24"/>
          <w:lang w:val="hr-HR"/>
        </w:rPr>
        <w:t xml:space="preserve"> </w:t>
      </w:r>
      <w:r w:rsidR="00A6165A" w:rsidRPr="007F2A5B">
        <w:rPr>
          <w:sz w:val="24"/>
          <w:szCs w:val="24"/>
          <w:lang w:val="hr-HR"/>
        </w:rPr>
        <w:t>u 202</w:t>
      </w:r>
      <w:r w:rsidR="00B901A9">
        <w:rPr>
          <w:sz w:val="24"/>
          <w:szCs w:val="24"/>
          <w:lang w:val="hr-HR"/>
        </w:rPr>
        <w:t>5</w:t>
      </w:r>
      <w:r w:rsidR="00A6165A" w:rsidRPr="007F2A5B">
        <w:rPr>
          <w:sz w:val="24"/>
          <w:szCs w:val="24"/>
          <w:lang w:val="hr-HR"/>
        </w:rPr>
        <w:t xml:space="preserve">. kaznionica je nabavila </w:t>
      </w:r>
      <w:r w:rsidR="00D23F03">
        <w:rPr>
          <w:sz w:val="24"/>
          <w:szCs w:val="24"/>
          <w:lang w:val="hr-HR"/>
        </w:rPr>
        <w:t xml:space="preserve">komunikacijsku </w:t>
      </w:r>
      <w:r w:rsidR="0052169A" w:rsidRPr="007F2A5B">
        <w:rPr>
          <w:sz w:val="24"/>
          <w:szCs w:val="24"/>
          <w:lang w:val="hr-HR"/>
        </w:rPr>
        <w:t xml:space="preserve"> opremu </w:t>
      </w:r>
      <w:r w:rsidR="00546328">
        <w:rPr>
          <w:sz w:val="24"/>
          <w:szCs w:val="24"/>
          <w:lang w:val="hr-HR"/>
        </w:rPr>
        <w:t xml:space="preserve">vrijednosti </w:t>
      </w:r>
      <w:r w:rsidR="00D23F03">
        <w:rPr>
          <w:sz w:val="24"/>
          <w:szCs w:val="24"/>
          <w:lang w:val="hr-HR"/>
        </w:rPr>
        <w:t>2.949,97</w:t>
      </w:r>
      <w:r w:rsidR="00B901A9">
        <w:rPr>
          <w:sz w:val="24"/>
          <w:szCs w:val="24"/>
          <w:lang w:val="hr-HR"/>
        </w:rPr>
        <w:t xml:space="preserve"> </w:t>
      </w:r>
      <w:r w:rsidR="002D47DE" w:rsidRPr="007F2A5B">
        <w:rPr>
          <w:sz w:val="24"/>
          <w:szCs w:val="24"/>
          <w:lang w:val="hr-HR"/>
        </w:rPr>
        <w:t xml:space="preserve"> €</w:t>
      </w:r>
      <w:r w:rsidR="0011141C" w:rsidRPr="007F2A5B">
        <w:rPr>
          <w:sz w:val="24"/>
          <w:szCs w:val="24"/>
          <w:lang w:val="hr-HR"/>
        </w:rPr>
        <w:t xml:space="preserve"> (</w:t>
      </w:r>
      <w:r w:rsidR="0034020E">
        <w:rPr>
          <w:sz w:val="24"/>
          <w:szCs w:val="24"/>
          <w:lang w:val="hr-HR"/>
        </w:rPr>
        <w:t xml:space="preserve"> </w:t>
      </w:r>
      <w:r w:rsidR="00CE5FF4">
        <w:rPr>
          <w:sz w:val="24"/>
          <w:szCs w:val="24"/>
          <w:lang w:val="hr-HR"/>
        </w:rPr>
        <w:t xml:space="preserve">TV prijemnik, nadzor izvedenih radova na sustavu </w:t>
      </w:r>
      <w:proofErr w:type="spellStart"/>
      <w:r w:rsidR="00CE5FF4">
        <w:rPr>
          <w:sz w:val="24"/>
          <w:szCs w:val="24"/>
          <w:lang w:val="hr-HR"/>
        </w:rPr>
        <w:t>videonadzora</w:t>
      </w:r>
      <w:proofErr w:type="spellEnd"/>
      <w:r w:rsidR="00CE5FF4">
        <w:rPr>
          <w:sz w:val="24"/>
          <w:szCs w:val="24"/>
          <w:lang w:val="hr-HR"/>
        </w:rPr>
        <w:t xml:space="preserve"> </w:t>
      </w:r>
      <w:r w:rsidR="0011141C" w:rsidRPr="007F2A5B">
        <w:rPr>
          <w:sz w:val="24"/>
          <w:szCs w:val="24"/>
          <w:lang w:val="hr-HR"/>
        </w:rPr>
        <w:t>),</w:t>
      </w:r>
      <w:r w:rsidR="0034020E">
        <w:rPr>
          <w:sz w:val="24"/>
          <w:szCs w:val="24"/>
          <w:lang w:val="hr-HR"/>
        </w:rPr>
        <w:t xml:space="preserve"> </w:t>
      </w:r>
      <w:r w:rsidR="0011141C" w:rsidRPr="007F2A5B">
        <w:rPr>
          <w:sz w:val="24"/>
          <w:szCs w:val="24"/>
          <w:lang w:val="hr-HR"/>
        </w:rPr>
        <w:t xml:space="preserve">uređaje, strojeve i opremu za ostale namjene u iznosu od </w:t>
      </w:r>
      <w:r w:rsidR="00CE5FF4">
        <w:rPr>
          <w:sz w:val="24"/>
          <w:szCs w:val="24"/>
          <w:lang w:val="hr-HR"/>
        </w:rPr>
        <w:t>485.688,75</w:t>
      </w:r>
      <w:r w:rsidR="00B901A9">
        <w:rPr>
          <w:sz w:val="24"/>
          <w:szCs w:val="24"/>
          <w:lang w:val="hr-HR"/>
        </w:rPr>
        <w:t xml:space="preserve"> </w:t>
      </w:r>
      <w:r w:rsidR="0011141C" w:rsidRPr="007F2A5B">
        <w:rPr>
          <w:sz w:val="24"/>
          <w:szCs w:val="24"/>
          <w:lang w:val="hr-HR"/>
        </w:rPr>
        <w:t xml:space="preserve"> €</w:t>
      </w:r>
      <w:r w:rsidR="00143E8D">
        <w:rPr>
          <w:sz w:val="24"/>
          <w:szCs w:val="24"/>
          <w:lang w:val="hr-HR"/>
        </w:rPr>
        <w:t xml:space="preserve"> </w:t>
      </w:r>
      <w:r w:rsidR="00E57F46">
        <w:rPr>
          <w:sz w:val="24"/>
          <w:szCs w:val="24"/>
          <w:lang w:val="hr-HR"/>
        </w:rPr>
        <w:t>(stroj za bio</w:t>
      </w:r>
      <w:r w:rsidR="0034020E">
        <w:rPr>
          <w:sz w:val="24"/>
          <w:szCs w:val="24"/>
          <w:lang w:val="hr-HR"/>
        </w:rPr>
        <w:t xml:space="preserve"> </w:t>
      </w:r>
      <w:r w:rsidR="00E57F46">
        <w:rPr>
          <w:sz w:val="24"/>
          <w:szCs w:val="24"/>
          <w:lang w:val="hr-HR"/>
        </w:rPr>
        <w:t xml:space="preserve">otpad, </w:t>
      </w:r>
      <w:r w:rsidR="0034020E">
        <w:rPr>
          <w:sz w:val="24"/>
          <w:szCs w:val="24"/>
          <w:lang w:val="hr-HR"/>
        </w:rPr>
        <w:t>hladnja</w:t>
      </w:r>
      <w:r w:rsidR="00CE5FF4">
        <w:rPr>
          <w:sz w:val="24"/>
          <w:szCs w:val="24"/>
          <w:lang w:val="hr-HR"/>
        </w:rPr>
        <w:t>k</w:t>
      </w:r>
      <w:r w:rsidR="0034020E">
        <w:rPr>
          <w:sz w:val="24"/>
          <w:szCs w:val="24"/>
          <w:lang w:val="hr-HR"/>
        </w:rPr>
        <w:t>, tunelska perilica posuđa,</w:t>
      </w:r>
      <w:r w:rsidR="00CE5FF4">
        <w:rPr>
          <w:sz w:val="24"/>
          <w:szCs w:val="24"/>
          <w:lang w:val="hr-HR"/>
        </w:rPr>
        <w:t xml:space="preserve"> montažna skladišna hala, plinski </w:t>
      </w:r>
      <w:r w:rsidR="00CE5FF4">
        <w:rPr>
          <w:sz w:val="24"/>
          <w:szCs w:val="24"/>
          <w:lang w:val="hr-HR"/>
        </w:rPr>
        <w:lastRenderedPageBreak/>
        <w:t xml:space="preserve">kotao </w:t>
      </w:r>
      <w:r w:rsidR="00726A13">
        <w:rPr>
          <w:sz w:val="24"/>
          <w:szCs w:val="24"/>
          <w:lang w:val="hr-HR"/>
        </w:rPr>
        <w:t xml:space="preserve">), prijevozna sredstva u cestovnom prometu vrijednosti </w:t>
      </w:r>
      <w:r w:rsidR="00025C87">
        <w:rPr>
          <w:sz w:val="24"/>
          <w:szCs w:val="24"/>
          <w:lang w:val="hr-HR"/>
        </w:rPr>
        <w:t>194.487,50 € ( traktor i prikolica za traktor.</w:t>
      </w:r>
    </w:p>
    <w:p w14:paraId="29CAB929" w14:textId="77777777" w:rsidR="00702E47" w:rsidRPr="007F2A5B" w:rsidRDefault="00702E47" w:rsidP="00A51F15">
      <w:pPr>
        <w:spacing w:after="0" w:line="276" w:lineRule="auto"/>
        <w:rPr>
          <w:sz w:val="24"/>
          <w:szCs w:val="24"/>
          <w:lang w:val="hr-HR"/>
        </w:rPr>
      </w:pPr>
    </w:p>
    <w:p w14:paraId="6239DEF6" w14:textId="57C73013" w:rsidR="00285983" w:rsidRPr="007F2A5B" w:rsidRDefault="002F26AE" w:rsidP="001F67ED">
      <w:pPr>
        <w:spacing w:after="0" w:line="276" w:lineRule="auto"/>
        <w:rPr>
          <w:sz w:val="24"/>
          <w:szCs w:val="24"/>
        </w:rPr>
      </w:pPr>
      <w:r w:rsidRPr="007F2A5B">
        <w:rPr>
          <w:b/>
          <w:sz w:val="24"/>
          <w:szCs w:val="24"/>
          <w:lang w:val="hr-HR"/>
        </w:rPr>
        <w:t xml:space="preserve">45 </w:t>
      </w:r>
      <w:r w:rsidRPr="007F2A5B">
        <w:rPr>
          <w:b/>
          <w:sz w:val="24"/>
          <w:szCs w:val="24"/>
        </w:rPr>
        <w:t>Rashodi za dodatna ulaganja na nefinancijskoj imovini</w:t>
      </w:r>
      <w:r w:rsidR="003666A2" w:rsidRPr="007F2A5B">
        <w:rPr>
          <w:sz w:val="24"/>
          <w:szCs w:val="24"/>
        </w:rPr>
        <w:t xml:space="preserve"> </w:t>
      </w:r>
      <w:r w:rsidR="001C051D" w:rsidRPr="007F2A5B">
        <w:rPr>
          <w:sz w:val="24"/>
          <w:szCs w:val="24"/>
        </w:rPr>
        <w:t>–</w:t>
      </w:r>
      <w:r w:rsidR="00CC7FFA" w:rsidRPr="007F2A5B">
        <w:rPr>
          <w:sz w:val="24"/>
          <w:szCs w:val="24"/>
        </w:rPr>
        <w:t xml:space="preserve"> sredstva su utrošena za </w:t>
      </w:r>
      <w:r w:rsidR="00EC7C7A" w:rsidRPr="007F2A5B">
        <w:rPr>
          <w:sz w:val="24"/>
          <w:szCs w:val="24"/>
        </w:rPr>
        <w:t xml:space="preserve">dodatna ulaganja na građevinskim objektima u iznosu od </w:t>
      </w:r>
      <w:r w:rsidR="00025C87">
        <w:rPr>
          <w:sz w:val="24"/>
          <w:szCs w:val="24"/>
        </w:rPr>
        <w:t>156.526,95</w:t>
      </w:r>
      <w:r w:rsidR="00EC7C7A" w:rsidRPr="007F2A5B">
        <w:rPr>
          <w:sz w:val="24"/>
          <w:szCs w:val="24"/>
        </w:rPr>
        <w:t xml:space="preserve"> €</w:t>
      </w:r>
      <w:r w:rsidR="001F67ED">
        <w:rPr>
          <w:sz w:val="24"/>
          <w:szCs w:val="24"/>
        </w:rPr>
        <w:t xml:space="preserve"> (</w:t>
      </w:r>
      <w:r w:rsidR="00025C87">
        <w:rPr>
          <w:sz w:val="24"/>
          <w:szCs w:val="24"/>
        </w:rPr>
        <w:t xml:space="preserve"> nadstrešnica</w:t>
      </w:r>
      <w:r w:rsidR="00451FD7">
        <w:rPr>
          <w:sz w:val="24"/>
          <w:szCs w:val="24"/>
        </w:rPr>
        <w:t xml:space="preserve"> i linija plastifikacije metalske radionice</w:t>
      </w:r>
      <w:r w:rsidR="00025C87">
        <w:rPr>
          <w:sz w:val="24"/>
          <w:szCs w:val="24"/>
        </w:rPr>
        <w:t xml:space="preserve">, </w:t>
      </w:r>
      <w:r w:rsidR="00451FD7">
        <w:rPr>
          <w:sz w:val="24"/>
          <w:szCs w:val="24"/>
        </w:rPr>
        <w:t xml:space="preserve">lakirnica za drvoprerađivačku radionicu, </w:t>
      </w:r>
      <w:r w:rsidR="00DB689C">
        <w:rPr>
          <w:sz w:val="24"/>
          <w:szCs w:val="24"/>
        </w:rPr>
        <w:t xml:space="preserve">vanjsko parkiralište uz zgradu Kaznionice, instalacija glavnog voda grijanja zatvoreničke zgrade </w:t>
      </w:r>
      <w:r w:rsidR="001F67ED">
        <w:rPr>
          <w:sz w:val="24"/>
          <w:szCs w:val="24"/>
        </w:rPr>
        <w:t xml:space="preserve">) </w:t>
      </w:r>
      <w:r w:rsidR="00EC7C7A" w:rsidRPr="007F2A5B">
        <w:rPr>
          <w:sz w:val="24"/>
          <w:szCs w:val="24"/>
        </w:rPr>
        <w:t xml:space="preserve">. </w:t>
      </w:r>
    </w:p>
    <w:p w14:paraId="5F1BE96F" w14:textId="5ADEE87F" w:rsidR="003E76DC" w:rsidRDefault="00105318" w:rsidP="001F67ED">
      <w:pPr>
        <w:spacing w:after="0" w:line="276" w:lineRule="auto"/>
        <w:rPr>
          <w:sz w:val="24"/>
          <w:szCs w:val="24"/>
        </w:rPr>
      </w:pPr>
      <w:r w:rsidRPr="007F2A5B">
        <w:rPr>
          <w:sz w:val="24"/>
          <w:szCs w:val="24"/>
        </w:rPr>
        <w:t xml:space="preserve"> </w:t>
      </w:r>
    </w:p>
    <w:p w14:paraId="70DDC790" w14:textId="77777777" w:rsidR="002E1CD1" w:rsidRPr="007F2A5B" w:rsidRDefault="002E1CD1" w:rsidP="001F67ED">
      <w:pPr>
        <w:spacing w:after="0" w:line="276" w:lineRule="auto"/>
        <w:rPr>
          <w:i/>
          <w:iCs/>
          <w:sz w:val="24"/>
          <w:szCs w:val="24"/>
          <w:lang w:val="hr-HR"/>
        </w:rPr>
      </w:pPr>
    </w:p>
    <w:p w14:paraId="378EB600" w14:textId="0E824BA3" w:rsidR="00D02C9A" w:rsidRDefault="00D02C9A" w:rsidP="001F67ED">
      <w:pPr>
        <w:overflowPunct/>
        <w:autoSpaceDE/>
        <w:autoSpaceDN/>
        <w:adjustRightInd/>
        <w:spacing w:line="276" w:lineRule="auto"/>
        <w:ind w:left="-20" w:right="-20"/>
        <w:textAlignment w:val="auto"/>
        <w:rPr>
          <w:color w:val="000000" w:themeColor="text1"/>
          <w:sz w:val="24"/>
          <w:szCs w:val="24"/>
        </w:rPr>
      </w:pPr>
      <w:r w:rsidRPr="007F2A5B">
        <w:rPr>
          <w:b/>
          <w:color w:val="000000" w:themeColor="text1"/>
          <w:sz w:val="24"/>
          <w:szCs w:val="24"/>
          <w:u w:val="single"/>
        </w:rPr>
        <w:t>Izvor 41</w:t>
      </w:r>
      <w:r w:rsidR="00B16197" w:rsidRPr="007F2A5B">
        <w:rPr>
          <w:color w:val="000000" w:themeColor="text1"/>
          <w:sz w:val="24"/>
          <w:szCs w:val="24"/>
        </w:rPr>
        <w:t xml:space="preserve"> </w:t>
      </w:r>
      <w:r w:rsidRPr="007F2A5B">
        <w:rPr>
          <w:color w:val="000000" w:themeColor="text1"/>
          <w:sz w:val="24"/>
          <w:szCs w:val="24"/>
        </w:rPr>
        <w:t xml:space="preserve">- doznačenih </w:t>
      </w:r>
      <w:r w:rsidR="00DB689C">
        <w:rPr>
          <w:color w:val="000000" w:themeColor="text1"/>
          <w:sz w:val="24"/>
          <w:szCs w:val="24"/>
        </w:rPr>
        <w:t>52.419,52</w:t>
      </w:r>
      <w:r w:rsidRPr="007F2A5B">
        <w:rPr>
          <w:color w:val="000000" w:themeColor="text1"/>
          <w:sz w:val="24"/>
          <w:szCs w:val="24"/>
        </w:rPr>
        <w:t xml:space="preserve"> € odnosi se na sredstva namijenjena provođenju slijedećih  projek</w:t>
      </w:r>
      <w:r w:rsidR="00C55DDC" w:rsidRPr="007F2A5B">
        <w:rPr>
          <w:color w:val="000000" w:themeColor="text1"/>
          <w:sz w:val="24"/>
          <w:szCs w:val="24"/>
        </w:rPr>
        <w:t>a</w:t>
      </w:r>
      <w:r w:rsidRPr="007F2A5B">
        <w:rPr>
          <w:color w:val="000000" w:themeColor="text1"/>
          <w:sz w:val="24"/>
          <w:szCs w:val="24"/>
        </w:rPr>
        <w:t>ta:</w:t>
      </w:r>
    </w:p>
    <w:p w14:paraId="3952E2CE" w14:textId="77777777" w:rsidR="004C4D80" w:rsidRPr="004C4D80" w:rsidRDefault="004C4D80" w:rsidP="004C4D80">
      <w:pPr>
        <w:overflowPunct/>
        <w:autoSpaceDE/>
        <w:autoSpaceDN/>
        <w:adjustRightInd/>
        <w:spacing w:line="276" w:lineRule="auto"/>
        <w:ind w:left="-20" w:right="-20" w:firstLine="728"/>
        <w:textAlignment w:val="auto"/>
        <w:rPr>
          <w:color w:val="000000" w:themeColor="text1"/>
          <w:sz w:val="24"/>
          <w:szCs w:val="24"/>
        </w:rPr>
      </w:pPr>
      <w:r w:rsidRPr="004C4D80">
        <w:rPr>
          <w:color w:val="000000" w:themeColor="text1"/>
          <w:sz w:val="24"/>
          <w:szCs w:val="24"/>
        </w:rPr>
        <w:t>Projekt „Pobjegni predrasudama“ čija je ukupna vrijednost ugovora 49.515,62 €, od čega je prva rata u iznosu od 34.660,93 € isplaćena u prosincu 2025.g. dok će druga rata biti isplaćena tokom 2026. godine. Projekt provodi Zagrebački boksački klub.</w:t>
      </w:r>
    </w:p>
    <w:p w14:paraId="3BD3D838" w14:textId="77777777" w:rsidR="004C4D80" w:rsidRPr="004C4D80" w:rsidRDefault="004C4D80" w:rsidP="004C4D80">
      <w:pPr>
        <w:overflowPunct/>
        <w:autoSpaceDE/>
        <w:autoSpaceDN/>
        <w:adjustRightInd/>
        <w:spacing w:line="276" w:lineRule="auto"/>
        <w:ind w:left="-20" w:right="-20" w:firstLine="728"/>
        <w:textAlignment w:val="auto"/>
        <w:rPr>
          <w:color w:val="000000" w:themeColor="text1"/>
          <w:sz w:val="24"/>
          <w:szCs w:val="24"/>
        </w:rPr>
      </w:pPr>
      <w:r w:rsidRPr="004C4D80">
        <w:rPr>
          <w:color w:val="000000" w:themeColor="text1"/>
          <w:sz w:val="24"/>
          <w:szCs w:val="24"/>
        </w:rPr>
        <w:t>Projekt „ A što dalje“ čija je ukupna vrijednost 59.195,29 €, od čega je prva rata u iznosu od 41.436,70 isplaćena u prosincu 2024.godine a preostali iznos od 17.758,59 € isplaćen je u studenom 2025.godine. Projekt provodi Udruga za kreativni socijalni rad iz Zagreba.</w:t>
      </w:r>
    </w:p>
    <w:p w14:paraId="442F5685" w14:textId="491ABEF3" w:rsidR="004C4D80" w:rsidRPr="007F2A5B" w:rsidRDefault="004C4D80" w:rsidP="004C4D80">
      <w:pPr>
        <w:overflowPunct/>
        <w:autoSpaceDE/>
        <w:autoSpaceDN/>
        <w:adjustRightInd/>
        <w:spacing w:line="276" w:lineRule="auto"/>
        <w:ind w:left="-20" w:right="-20" w:firstLine="728"/>
        <w:textAlignment w:val="auto"/>
        <w:rPr>
          <w:color w:val="000000" w:themeColor="text1"/>
          <w:sz w:val="24"/>
          <w:szCs w:val="24"/>
        </w:rPr>
      </w:pPr>
      <w:r w:rsidRPr="004C4D80">
        <w:rPr>
          <w:color w:val="000000" w:themeColor="text1"/>
          <w:sz w:val="24"/>
          <w:szCs w:val="24"/>
        </w:rPr>
        <w:t>Financijska sredstva za provođenje projekata dodijeljena su sukladno Odluci o raspodjeli financijskih sredstava iz dijela prihoda od igara na sreću u području pružanja potpore provođenju pojedinačnog programa izvršavanja kazne zatvora.</w:t>
      </w:r>
    </w:p>
    <w:p w14:paraId="0D63125F" w14:textId="77777777" w:rsidR="00DD56FF" w:rsidRDefault="00DD56FF" w:rsidP="00DD56FF">
      <w:pPr>
        <w:spacing w:line="276" w:lineRule="auto"/>
        <w:ind w:firstLine="708"/>
        <w:rPr>
          <w:sz w:val="24"/>
          <w:szCs w:val="24"/>
        </w:rPr>
      </w:pPr>
    </w:p>
    <w:p w14:paraId="073DDFD1" w14:textId="77777777" w:rsidR="002E1CD1" w:rsidRPr="00DD56FF" w:rsidRDefault="002E1CD1" w:rsidP="004C4D80">
      <w:pPr>
        <w:spacing w:line="276" w:lineRule="auto"/>
        <w:rPr>
          <w:sz w:val="24"/>
          <w:szCs w:val="24"/>
        </w:rPr>
      </w:pPr>
    </w:p>
    <w:p w14:paraId="7CA75A74" w14:textId="3C9008F3" w:rsidR="006F1566" w:rsidRPr="007F2A5B" w:rsidRDefault="006F1566" w:rsidP="00A51F15">
      <w:pPr>
        <w:spacing w:line="276" w:lineRule="auto"/>
        <w:rPr>
          <w:b/>
          <w:bCs/>
          <w:sz w:val="24"/>
          <w:szCs w:val="24"/>
        </w:rPr>
      </w:pPr>
      <w:r w:rsidRPr="007F2A5B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7685F828" w14:textId="0C8E0654" w:rsidR="006F1566" w:rsidRPr="007F2A5B" w:rsidRDefault="006F1566" w:rsidP="00A51F15">
      <w:pPr>
        <w:spacing w:line="276" w:lineRule="auto"/>
        <w:rPr>
          <w:sz w:val="24"/>
          <w:szCs w:val="24"/>
        </w:rPr>
      </w:pPr>
    </w:p>
    <w:tbl>
      <w:tblPr>
        <w:tblStyle w:val="StilTablice"/>
        <w:tblW w:w="9150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27"/>
        <w:gridCol w:w="1652"/>
        <w:gridCol w:w="1456"/>
      </w:tblGrid>
      <w:tr w:rsidR="005D5653" w:rsidRPr="007F2A5B" w14:paraId="3F75000B" w14:textId="77777777" w:rsidTr="009D5A73">
        <w:trPr>
          <w:trHeight w:val="854"/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5D5653" w:rsidRPr="007F2A5B" w:rsidRDefault="005D565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44" w:type="dxa"/>
            <w:shd w:val="clear" w:color="auto" w:fill="B5C0D8"/>
          </w:tcPr>
          <w:p w14:paraId="002481DD" w14:textId="77777777" w:rsidR="009D5A73" w:rsidRDefault="009D5A7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5E5D48B" w14:textId="5B52623D" w:rsidR="005D5653" w:rsidRPr="007F2A5B" w:rsidRDefault="005D5653" w:rsidP="004C4D80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Izvršenje 202</w:t>
            </w:r>
            <w:r w:rsidR="004C4D80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11" w:type="dxa"/>
            <w:shd w:val="clear" w:color="auto" w:fill="B5C0D8"/>
          </w:tcPr>
          <w:p w14:paraId="2D179EC8" w14:textId="720D4A32" w:rsidR="005D5653" w:rsidRPr="007F2A5B" w:rsidRDefault="005D565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Plan 202</w:t>
            </w:r>
            <w:r w:rsidR="004C4D80">
              <w:rPr>
                <w:rFonts w:cs="Times New Roman"/>
                <w:sz w:val="24"/>
                <w:szCs w:val="24"/>
              </w:rPr>
              <w:t>5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27" w:type="dxa"/>
            <w:shd w:val="clear" w:color="auto" w:fill="B5C0D8"/>
          </w:tcPr>
          <w:p w14:paraId="7E3320AA" w14:textId="0DA82F74" w:rsidR="005D5653" w:rsidRPr="009D5A73" w:rsidRDefault="005D5653" w:rsidP="004C4D80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Izvršenje 202</w:t>
            </w:r>
            <w:r w:rsidR="004C4D80">
              <w:rPr>
                <w:rFonts w:cs="Times New Roman"/>
                <w:sz w:val="24"/>
                <w:szCs w:val="24"/>
              </w:rPr>
              <w:t>5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52" w:type="dxa"/>
            <w:shd w:val="clear" w:color="auto" w:fill="B5C0D8"/>
          </w:tcPr>
          <w:p w14:paraId="5901B224" w14:textId="62D02879" w:rsidR="009D5A73" w:rsidRDefault="005D565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Indeks izvršenje 202</w:t>
            </w:r>
            <w:r w:rsidR="004C4D80">
              <w:rPr>
                <w:rFonts w:cs="Times New Roman"/>
                <w:sz w:val="24"/>
                <w:szCs w:val="24"/>
              </w:rPr>
              <w:t>5</w:t>
            </w:r>
            <w:r w:rsidRPr="007F2A5B">
              <w:rPr>
                <w:rFonts w:cs="Times New Roman"/>
                <w:sz w:val="24"/>
                <w:szCs w:val="24"/>
              </w:rPr>
              <w:t>./</w:t>
            </w:r>
          </w:p>
          <w:p w14:paraId="0A791AF0" w14:textId="2E51C4FC" w:rsidR="005D5653" w:rsidRPr="009D5A73" w:rsidRDefault="005D5653" w:rsidP="004C4D80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plan 202</w:t>
            </w:r>
            <w:r w:rsidR="004C4D80">
              <w:rPr>
                <w:rFonts w:cs="Times New Roman"/>
                <w:sz w:val="24"/>
                <w:szCs w:val="24"/>
              </w:rPr>
              <w:t>5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shd w:val="clear" w:color="auto" w:fill="B5C0D8"/>
          </w:tcPr>
          <w:p w14:paraId="630B225B" w14:textId="5F9D8204" w:rsidR="005D5653" w:rsidRPr="009D5A73" w:rsidRDefault="005D5653" w:rsidP="004C4D80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Indeks izvršenje 202</w:t>
            </w:r>
            <w:r w:rsidR="004C4D80">
              <w:rPr>
                <w:rFonts w:cs="Times New Roman"/>
                <w:sz w:val="24"/>
                <w:szCs w:val="24"/>
              </w:rPr>
              <w:t>5</w:t>
            </w:r>
            <w:r w:rsidRPr="007F2A5B">
              <w:rPr>
                <w:rFonts w:cs="Times New Roman"/>
                <w:sz w:val="24"/>
                <w:szCs w:val="24"/>
              </w:rPr>
              <w:t>./202</w:t>
            </w:r>
            <w:r w:rsidR="004C4D80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D5653" w:rsidRPr="007F2A5B" w14:paraId="3695D708" w14:textId="77777777" w:rsidTr="009D5A73">
        <w:trPr>
          <w:jc w:val="center"/>
        </w:trPr>
        <w:tc>
          <w:tcPr>
            <w:tcW w:w="1460" w:type="dxa"/>
            <w:vAlign w:val="top"/>
          </w:tcPr>
          <w:p w14:paraId="068F6A56" w14:textId="68C430F3" w:rsidR="005D5653" w:rsidRPr="007F2A5B" w:rsidRDefault="005D5653" w:rsidP="00A51F15">
            <w:pPr>
              <w:pStyle w:val="Naslov4"/>
              <w:spacing w:after="0" w:line="276" w:lineRule="auto"/>
              <w:jc w:val="center"/>
              <w:outlineLvl w:val="3"/>
              <w:rPr>
                <w:sz w:val="24"/>
                <w:szCs w:val="24"/>
              </w:rPr>
            </w:pPr>
            <w:r w:rsidRPr="007F2A5B">
              <w:rPr>
                <w:b w:val="0"/>
                <w:bCs w:val="0"/>
                <w:i/>
                <w:iCs/>
                <w:sz w:val="24"/>
                <w:szCs w:val="24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57F67773" w:rsidR="005D5653" w:rsidRPr="007F2A5B" w:rsidRDefault="004C4D80" w:rsidP="00834D89">
            <w:pPr>
              <w:spacing w:after="0"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2.</w:t>
            </w:r>
            <w:r w:rsidR="00834D89">
              <w:rPr>
                <w:sz w:val="24"/>
                <w:szCs w:val="24"/>
              </w:rPr>
              <w:t>485.574,31</w:t>
            </w:r>
          </w:p>
        </w:tc>
        <w:tc>
          <w:tcPr>
            <w:tcW w:w="1511" w:type="dxa"/>
            <w:vAlign w:val="top"/>
          </w:tcPr>
          <w:p w14:paraId="5B9A3347" w14:textId="35E425B0" w:rsidR="005D5653" w:rsidRPr="007F2A5B" w:rsidRDefault="00834D89" w:rsidP="00A51F1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2.490.700</w:t>
            </w:r>
            <w:r w:rsidR="006D19EE">
              <w:rPr>
                <w:sz w:val="24"/>
                <w:szCs w:val="24"/>
              </w:rPr>
              <w:t>,00</w:t>
            </w:r>
          </w:p>
        </w:tc>
        <w:tc>
          <w:tcPr>
            <w:tcW w:w="1527" w:type="dxa"/>
            <w:vAlign w:val="top"/>
          </w:tcPr>
          <w:p w14:paraId="45AE0096" w14:textId="65CE84B2" w:rsidR="00336A81" w:rsidRPr="007F2A5B" w:rsidRDefault="00834D89" w:rsidP="00A51F1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2.879.436,81</w:t>
            </w:r>
          </w:p>
        </w:tc>
        <w:tc>
          <w:tcPr>
            <w:tcW w:w="1652" w:type="dxa"/>
            <w:vAlign w:val="top"/>
          </w:tcPr>
          <w:p w14:paraId="3F595382" w14:textId="1DA3151D" w:rsidR="005D5653" w:rsidRPr="007F2A5B" w:rsidRDefault="006D19EE" w:rsidP="00A51F1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115,61</w:t>
            </w:r>
          </w:p>
        </w:tc>
        <w:tc>
          <w:tcPr>
            <w:tcW w:w="1456" w:type="dxa"/>
            <w:vAlign w:val="top"/>
          </w:tcPr>
          <w:p w14:paraId="60E573F9" w14:textId="4F5974D6" w:rsidR="005D5653" w:rsidRPr="007F2A5B" w:rsidRDefault="006D19EE" w:rsidP="00A51F1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115,85</w:t>
            </w:r>
          </w:p>
        </w:tc>
      </w:tr>
    </w:tbl>
    <w:p w14:paraId="64A60733" w14:textId="431CCF4A" w:rsidR="006F1566" w:rsidRPr="007F2A5B" w:rsidRDefault="006F1566" w:rsidP="00A51F15">
      <w:pPr>
        <w:spacing w:line="276" w:lineRule="auto"/>
        <w:rPr>
          <w:sz w:val="24"/>
          <w:szCs w:val="24"/>
        </w:rPr>
      </w:pPr>
    </w:p>
    <w:p w14:paraId="1BB73859" w14:textId="6E5D5D08" w:rsidR="006B30D5" w:rsidRPr="007F2A5B" w:rsidRDefault="00B17E51" w:rsidP="00665836">
      <w:pPr>
        <w:spacing w:line="276" w:lineRule="auto"/>
        <w:ind w:firstLine="708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>Evidencijski prihodi koristili su se za podmirivanje materijalnih rashoda poslovanja i poboljšanje uvjeta rada i života u kaznionici.</w:t>
      </w:r>
    </w:p>
    <w:p w14:paraId="168EC484" w14:textId="77777777" w:rsidR="00D02C9A" w:rsidRPr="007F2A5B" w:rsidRDefault="00D02C9A" w:rsidP="00A51F15">
      <w:pPr>
        <w:spacing w:line="276" w:lineRule="auto"/>
        <w:rPr>
          <w:sz w:val="24"/>
          <w:szCs w:val="24"/>
          <w:u w:val="single"/>
        </w:rPr>
      </w:pPr>
    </w:p>
    <w:p w14:paraId="6A929A32" w14:textId="77777777" w:rsidR="00D721A3" w:rsidRPr="007F2A5B" w:rsidRDefault="007246B2" w:rsidP="00A51F15">
      <w:pPr>
        <w:spacing w:line="276" w:lineRule="auto"/>
        <w:rPr>
          <w:sz w:val="24"/>
          <w:szCs w:val="24"/>
        </w:rPr>
      </w:pPr>
      <w:r w:rsidRPr="007F2A5B">
        <w:rPr>
          <w:b/>
          <w:sz w:val="24"/>
          <w:szCs w:val="24"/>
          <w:u w:val="single"/>
        </w:rPr>
        <w:t>I</w:t>
      </w:r>
      <w:r w:rsidR="00B17E51" w:rsidRPr="007F2A5B">
        <w:rPr>
          <w:b/>
          <w:sz w:val="24"/>
          <w:szCs w:val="24"/>
          <w:u w:val="single"/>
        </w:rPr>
        <w:t>zvor</w:t>
      </w:r>
      <w:r w:rsidRPr="007F2A5B">
        <w:rPr>
          <w:b/>
          <w:sz w:val="24"/>
          <w:szCs w:val="24"/>
          <w:u w:val="single"/>
        </w:rPr>
        <w:t xml:space="preserve"> 31</w:t>
      </w:r>
      <w:r w:rsidR="00B17E51" w:rsidRPr="007F2A5B">
        <w:rPr>
          <w:sz w:val="24"/>
          <w:szCs w:val="24"/>
          <w:u w:val="single"/>
        </w:rPr>
        <w:t xml:space="preserve"> </w:t>
      </w:r>
      <w:r w:rsidR="00D721A3" w:rsidRPr="007F2A5B">
        <w:rPr>
          <w:sz w:val="24"/>
          <w:szCs w:val="24"/>
        </w:rPr>
        <w:t>– sredstva su utrošena za :</w:t>
      </w:r>
    </w:p>
    <w:p w14:paraId="4D7224B1" w14:textId="230C6884" w:rsidR="00EC7C7A" w:rsidRPr="007F2A5B" w:rsidRDefault="00D721A3" w:rsidP="00A51F15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F2A5B">
        <w:rPr>
          <w:sz w:val="24"/>
          <w:szCs w:val="24"/>
        </w:rPr>
        <w:t xml:space="preserve">podmirenje materijalnih rashoda </w:t>
      </w:r>
      <w:r w:rsidR="00633836" w:rsidRPr="007F2A5B">
        <w:rPr>
          <w:sz w:val="24"/>
          <w:szCs w:val="24"/>
        </w:rPr>
        <w:t xml:space="preserve">nastalih radom gospodarskih jedinica </w:t>
      </w:r>
      <w:r w:rsidR="00EC7C7A" w:rsidRPr="007F2A5B">
        <w:rPr>
          <w:sz w:val="24"/>
          <w:szCs w:val="24"/>
        </w:rPr>
        <w:t xml:space="preserve">u iznosu od </w:t>
      </w:r>
      <w:r w:rsidR="004C4D80">
        <w:rPr>
          <w:sz w:val="24"/>
          <w:szCs w:val="24"/>
        </w:rPr>
        <w:t>2.416.055,93</w:t>
      </w:r>
      <w:r w:rsidR="00EC7C7A" w:rsidRPr="007F2A5B">
        <w:rPr>
          <w:sz w:val="24"/>
          <w:szCs w:val="24"/>
        </w:rPr>
        <w:t xml:space="preserve"> € </w:t>
      </w:r>
      <w:r w:rsidRPr="007F2A5B">
        <w:rPr>
          <w:sz w:val="24"/>
          <w:szCs w:val="24"/>
        </w:rPr>
        <w:t xml:space="preserve">(materijal i energija, </w:t>
      </w:r>
      <w:r w:rsidR="00F9492F" w:rsidRPr="007F2A5B">
        <w:rPr>
          <w:sz w:val="24"/>
          <w:szCs w:val="24"/>
        </w:rPr>
        <w:t xml:space="preserve">rashodi za usluge, </w:t>
      </w:r>
      <w:r w:rsidRPr="007F2A5B">
        <w:rPr>
          <w:sz w:val="24"/>
          <w:szCs w:val="24"/>
        </w:rPr>
        <w:t>naknade za rad zatvorenika</w:t>
      </w:r>
      <w:r w:rsidR="00F9492F" w:rsidRPr="007F2A5B">
        <w:rPr>
          <w:sz w:val="24"/>
          <w:szCs w:val="24"/>
        </w:rPr>
        <w:t>, naknade troškova zaposlenima</w:t>
      </w:r>
      <w:r w:rsidR="00EC7C7A" w:rsidRPr="007F2A5B">
        <w:rPr>
          <w:sz w:val="24"/>
          <w:szCs w:val="24"/>
        </w:rPr>
        <w:t>)</w:t>
      </w:r>
    </w:p>
    <w:p w14:paraId="5943F9FF" w14:textId="6E16F52C" w:rsidR="007246B2" w:rsidRPr="007F2A5B" w:rsidRDefault="00EC7C7A" w:rsidP="00A51F15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F2A5B">
        <w:rPr>
          <w:sz w:val="24"/>
          <w:szCs w:val="24"/>
        </w:rPr>
        <w:lastRenderedPageBreak/>
        <w:t xml:space="preserve">podmirenje financijskih rashoda u iznosu od </w:t>
      </w:r>
      <w:r w:rsidR="006034DB">
        <w:rPr>
          <w:sz w:val="24"/>
          <w:szCs w:val="24"/>
        </w:rPr>
        <w:t>23.328,15</w:t>
      </w:r>
      <w:r w:rsidRPr="007F2A5B">
        <w:rPr>
          <w:sz w:val="24"/>
          <w:szCs w:val="24"/>
        </w:rPr>
        <w:t xml:space="preserve"> € (bankarske usluge i usluge platnog prometa</w:t>
      </w:r>
      <w:r w:rsidR="00D721A3" w:rsidRPr="007F2A5B">
        <w:rPr>
          <w:sz w:val="24"/>
          <w:szCs w:val="24"/>
        </w:rPr>
        <w:t xml:space="preserve"> ),</w:t>
      </w:r>
      <w:r w:rsidR="0048794C" w:rsidRPr="007F2A5B">
        <w:rPr>
          <w:sz w:val="24"/>
          <w:szCs w:val="24"/>
        </w:rPr>
        <w:t xml:space="preserve"> </w:t>
      </w:r>
    </w:p>
    <w:p w14:paraId="6D0B316D" w14:textId="77777777" w:rsidR="006034DB" w:rsidRDefault="00D721A3" w:rsidP="00F83D14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F2A5B">
        <w:rPr>
          <w:sz w:val="24"/>
          <w:szCs w:val="24"/>
        </w:rPr>
        <w:t xml:space="preserve">podmirenje rashoda za nabavu nefinancijske imovine </w:t>
      </w:r>
      <w:r w:rsidR="00AA633A" w:rsidRPr="007F2A5B">
        <w:rPr>
          <w:sz w:val="24"/>
          <w:szCs w:val="24"/>
        </w:rPr>
        <w:t xml:space="preserve">koj iznose </w:t>
      </w:r>
      <w:r w:rsidR="006034DB">
        <w:rPr>
          <w:sz w:val="24"/>
          <w:szCs w:val="24"/>
        </w:rPr>
        <w:t>363.478,76</w:t>
      </w:r>
      <w:r w:rsidR="00C04DB0" w:rsidRPr="007F2A5B">
        <w:rPr>
          <w:sz w:val="24"/>
          <w:szCs w:val="24"/>
        </w:rPr>
        <w:t xml:space="preserve"> €</w:t>
      </w:r>
      <w:r w:rsidR="00AA633A" w:rsidRPr="007F2A5B">
        <w:rPr>
          <w:sz w:val="24"/>
          <w:szCs w:val="24"/>
        </w:rPr>
        <w:t xml:space="preserve"> </w:t>
      </w:r>
      <w:r w:rsidR="00EC7C7A" w:rsidRPr="007F2A5B">
        <w:rPr>
          <w:sz w:val="24"/>
          <w:szCs w:val="24"/>
        </w:rPr>
        <w:t xml:space="preserve">odnose se na </w:t>
      </w:r>
      <w:r w:rsidR="000864D1" w:rsidRPr="007F2A5B">
        <w:rPr>
          <w:sz w:val="24"/>
          <w:szCs w:val="24"/>
        </w:rPr>
        <w:t>plaćanje slijedeće imovine:</w:t>
      </w:r>
    </w:p>
    <w:p w14:paraId="247012A9" w14:textId="0D075D9D" w:rsidR="00C16A20" w:rsidRPr="00044877" w:rsidRDefault="000864D1" w:rsidP="00044877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034DB">
        <w:rPr>
          <w:sz w:val="24"/>
          <w:szCs w:val="24"/>
        </w:rPr>
        <w:t xml:space="preserve">uredske opreme i namještaja u iznosu od </w:t>
      </w:r>
      <w:r w:rsidR="006034DB">
        <w:rPr>
          <w:sz w:val="24"/>
          <w:szCs w:val="24"/>
        </w:rPr>
        <w:t>11.520,08</w:t>
      </w:r>
      <w:r w:rsidRPr="006034DB">
        <w:rPr>
          <w:sz w:val="24"/>
          <w:szCs w:val="24"/>
        </w:rPr>
        <w:t xml:space="preserve"> €</w:t>
      </w:r>
      <w:r w:rsidR="00AB43FA">
        <w:rPr>
          <w:sz w:val="24"/>
          <w:szCs w:val="24"/>
        </w:rPr>
        <w:t xml:space="preserve"> ( pisač</w:t>
      </w:r>
      <w:r w:rsidR="00EB64B8" w:rsidRPr="006034DB">
        <w:rPr>
          <w:sz w:val="24"/>
          <w:szCs w:val="24"/>
        </w:rPr>
        <w:t>, računala</w:t>
      </w:r>
      <w:r w:rsidRPr="006034DB">
        <w:rPr>
          <w:sz w:val="24"/>
          <w:szCs w:val="24"/>
        </w:rPr>
        <w:t>,</w:t>
      </w:r>
      <w:r w:rsidR="00EB64B8" w:rsidRPr="006034DB">
        <w:rPr>
          <w:sz w:val="24"/>
          <w:szCs w:val="24"/>
        </w:rPr>
        <w:t xml:space="preserve"> uredske stolice</w:t>
      </w:r>
      <w:r w:rsidR="00AB43FA">
        <w:rPr>
          <w:sz w:val="24"/>
          <w:szCs w:val="24"/>
        </w:rPr>
        <w:t>, garderobni ormar, arhivski ormar</w:t>
      </w:r>
      <w:r w:rsidR="00EB64B8" w:rsidRPr="006034DB">
        <w:rPr>
          <w:sz w:val="24"/>
          <w:szCs w:val="24"/>
        </w:rPr>
        <w:t xml:space="preserve"> )</w:t>
      </w:r>
      <w:r w:rsidRPr="006034DB">
        <w:rPr>
          <w:sz w:val="24"/>
          <w:szCs w:val="24"/>
        </w:rPr>
        <w:t xml:space="preserve"> komunikacijske opreme u iznosu od </w:t>
      </w:r>
      <w:r w:rsidR="006034DB">
        <w:rPr>
          <w:sz w:val="24"/>
          <w:szCs w:val="24"/>
        </w:rPr>
        <w:t>4.073,77</w:t>
      </w:r>
      <w:r w:rsidRPr="006034DB">
        <w:rPr>
          <w:sz w:val="24"/>
          <w:szCs w:val="24"/>
        </w:rPr>
        <w:t xml:space="preserve"> €</w:t>
      </w:r>
      <w:r w:rsidR="00BD148C" w:rsidRPr="006034DB">
        <w:rPr>
          <w:sz w:val="24"/>
          <w:szCs w:val="24"/>
        </w:rPr>
        <w:t xml:space="preserve"> ( tv prijemnici, </w:t>
      </w:r>
      <w:r w:rsidR="006D0352">
        <w:rPr>
          <w:sz w:val="24"/>
          <w:szCs w:val="24"/>
        </w:rPr>
        <w:t>komunikacijski ormar</w:t>
      </w:r>
      <w:r w:rsidR="00BD148C" w:rsidRPr="006034DB">
        <w:rPr>
          <w:sz w:val="24"/>
          <w:szCs w:val="24"/>
        </w:rPr>
        <w:t xml:space="preserve"> )</w:t>
      </w:r>
      <w:r w:rsidRPr="006034DB">
        <w:rPr>
          <w:sz w:val="24"/>
          <w:szCs w:val="24"/>
        </w:rPr>
        <w:t xml:space="preserve">,  opreme za održavanje i zaštitu u iznosu od </w:t>
      </w:r>
      <w:r w:rsidR="006034DB">
        <w:rPr>
          <w:sz w:val="24"/>
          <w:szCs w:val="24"/>
        </w:rPr>
        <w:t>40.972,35</w:t>
      </w:r>
      <w:r w:rsidRPr="006034DB">
        <w:rPr>
          <w:sz w:val="24"/>
          <w:szCs w:val="24"/>
        </w:rPr>
        <w:t xml:space="preserve"> €</w:t>
      </w:r>
      <w:r w:rsidR="00BD148C" w:rsidRPr="006034DB">
        <w:rPr>
          <w:sz w:val="24"/>
          <w:szCs w:val="24"/>
        </w:rPr>
        <w:t xml:space="preserve"> ( klima uređaji – </w:t>
      </w:r>
      <w:r w:rsidR="006D0352">
        <w:rPr>
          <w:sz w:val="24"/>
          <w:szCs w:val="24"/>
        </w:rPr>
        <w:t>10</w:t>
      </w:r>
      <w:r w:rsidR="00BD148C" w:rsidRPr="006034DB">
        <w:rPr>
          <w:sz w:val="24"/>
          <w:szCs w:val="24"/>
        </w:rPr>
        <w:t xml:space="preserve"> kom, </w:t>
      </w:r>
      <w:r w:rsidR="006D0352">
        <w:rPr>
          <w:sz w:val="24"/>
          <w:szCs w:val="24"/>
        </w:rPr>
        <w:t xml:space="preserve">rashladni ormari – 2 kom, usisavačai – 4 kom, grijači </w:t>
      </w:r>
      <w:r w:rsidR="00BD148C" w:rsidRPr="006034DB">
        <w:rPr>
          <w:sz w:val="24"/>
          <w:szCs w:val="24"/>
        </w:rPr>
        <w:t>)</w:t>
      </w:r>
      <w:r w:rsidRPr="006034DB">
        <w:rPr>
          <w:sz w:val="24"/>
          <w:szCs w:val="24"/>
        </w:rPr>
        <w:t xml:space="preserve">, medicinske i laboratorijske opreme u iznosu od </w:t>
      </w:r>
      <w:r w:rsidR="006034DB">
        <w:rPr>
          <w:sz w:val="24"/>
          <w:szCs w:val="24"/>
        </w:rPr>
        <w:t>5.312,67</w:t>
      </w:r>
      <w:r w:rsidRPr="006034DB">
        <w:rPr>
          <w:sz w:val="24"/>
          <w:szCs w:val="24"/>
        </w:rPr>
        <w:t xml:space="preserve"> €</w:t>
      </w:r>
      <w:r w:rsidR="00BD148C" w:rsidRPr="006034DB">
        <w:rPr>
          <w:sz w:val="24"/>
          <w:szCs w:val="24"/>
        </w:rPr>
        <w:t xml:space="preserve"> ( </w:t>
      </w:r>
      <w:r w:rsidR="00E94109">
        <w:rPr>
          <w:sz w:val="24"/>
          <w:szCs w:val="24"/>
        </w:rPr>
        <w:t>uređaj za mje</w:t>
      </w:r>
      <w:r w:rsidR="006D0352">
        <w:rPr>
          <w:sz w:val="24"/>
          <w:szCs w:val="24"/>
        </w:rPr>
        <w:t>š</w:t>
      </w:r>
      <w:r w:rsidR="00E94109">
        <w:rPr>
          <w:sz w:val="24"/>
          <w:szCs w:val="24"/>
        </w:rPr>
        <w:t>a</w:t>
      </w:r>
      <w:r w:rsidR="006D0352">
        <w:rPr>
          <w:sz w:val="24"/>
          <w:szCs w:val="24"/>
        </w:rPr>
        <w:t>nje amalgama, linearna sonda za UZV</w:t>
      </w:r>
      <w:r w:rsidR="00BD148C" w:rsidRPr="006034DB">
        <w:rPr>
          <w:sz w:val="24"/>
          <w:szCs w:val="24"/>
        </w:rPr>
        <w:t xml:space="preserve"> )</w:t>
      </w:r>
      <w:r w:rsidRPr="006034DB">
        <w:rPr>
          <w:sz w:val="24"/>
          <w:szCs w:val="24"/>
        </w:rPr>
        <w:t>, nabavu instrumenata, uređ</w:t>
      </w:r>
      <w:r w:rsidR="006034DB">
        <w:rPr>
          <w:sz w:val="24"/>
          <w:szCs w:val="24"/>
        </w:rPr>
        <w:t>aja i strojeva u iznosu od 7.223,16</w:t>
      </w:r>
      <w:r w:rsidRPr="006034DB">
        <w:rPr>
          <w:sz w:val="24"/>
          <w:szCs w:val="24"/>
        </w:rPr>
        <w:t>3 €</w:t>
      </w:r>
      <w:r w:rsidR="00BD148C" w:rsidRPr="006034DB">
        <w:rPr>
          <w:sz w:val="24"/>
          <w:szCs w:val="24"/>
        </w:rPr>
        <w:t xml:space="preserve"> ( </w:t>
      </w:r>
      <w:r w:rsidR="006D0352">
        <w:rPr>
          <w:sz w:val="24"/>
          <w:szCs w:val="24"/>
        </w:rPr>
        <w:t>termokamera, el. vaga, alko metar, instrument za uvođenje katet</w:t>
      </w:r>
      <w:r w:rsidR="00D7443D">
        <w:rPr>
          <w:sz w:val="24"/>
          <w:szCs w:val="24"/>
        </w:rPr>
        <w:t>era</w:t>
      </w:r>
      <w:r w:rsidR="006D0352">
        <w:rPr>
          <w:sz w:val="24"/>
          <w:szCs w:val="24"/>
        </w:rPr>
        <w:t xml:space="preserve"> </w:t>
      </w:r>
      <w:r w:rsidR="00BD148C" w:rsidRPr="006034DB">
        <w:rPr>
          <w:sz w:val="24"/>
          <w:szCs w:val="24"/>
        </w:rPr>
        <w:t xml:space="preserve"> ) </w:t>
      </w:r>
      <w:r w:rsidRPr="006034DB">
        <w:rPr>
          <w:sz w:val="24"/>
          <w:szCs w:val="24"/>
        </w:rPr>
        <w:t xml:space="preserve">, uređaja, strojeva i opreme za ostale namjene u iznosu od </w:t>
      </w:r>
      <w:r w:rsidR="006034DB">
        <w:rPr>
          <w:sz w:val="24"/>
          <w:szCs w:val="24"/>
        </w:rPr>
        <w:t>183.213,95</w:t>
      </w:r>
      <w:r w:rsidRPr="006034DB">
        <w:rPr>
          <w:sz w:val="24"/>
          <w:szCs w:val="24"/>
        </w:rPr>
        <w:t xml:space="preserve"> €</w:t>
      </w:r>
      <w:r w:rsidR="00F83D14" w:rsidRPr="006034DB">
        <w:rPr>
          <w:sz w:val="24"/>
          <w:szCs w:val="24"/>
        </w:rPr>
        <w:t xml:space="preserve"> ( </w:t>
      </w:r>
      <w:r w:rsidR="00D7443D">
        <w:rPr>
          <w:sz w:val="24"/>
          <w:szCs w:val="24"/>
        </w:rPr>
        <w:t>motorna pila, mješalica za beton, stroj za bio otpad, vibro pl</w:t>
      </w:r>
      <w:r w:rsidR="00E94109">
        <w:rPr>
          <w:sz w:val="24"/>
          <w:szCs w:val="24"/>
        </w:rPr>
        <w:t>o</w:t>
      </w:r>
      <w:r w:rsidR="00D7443D">
        <w:rPr>
          <w:sz w:val="24"/>
          <w:szCs w:val="24"/>
        </w:rPr>
        <w:t xml:space="preserve">ča, šivača mašina, plinski kotao, hladnjaci, parna pekarska peć, montažna skladišna hala, mikrovlana pećnica, raspršivač boje s opremom, stroj za nareske, tunelska perilica posuđa, el. nagibna tava, dišni aparat, motorna kosilica, kompresor za zrak, stroj za pakiranje sa dozatorom tekućine, kanalokopač, </w:t>
      </w:r>
      <w:r w:rsidR="0020757E">
        <w:rPr>
          <w:sz w:val="24"/>
          <w:szCs w:val="24"/>
        </w:rPr>
        <w:t>sadilica povrtnih kultura, malčer, dozator ugostiteljskog šećera, balansirka i montirka guma, inox platformska vaga, viskotlačni perači, inox posude, inventurna košara, električna friteza, plinski roštilj, deponator sa kratkom tanjuračom, etiketirka za vino</w:t>
      </w:r>
      <w:r w:rsidR="00F83D14" w:rsidRPr="006034DB">
        <w:rPr>
          <w:sz w:val="24"/>
          <w:szCs w:val="24"/>
        </w:rPr>
        <w:t xml:space="preserve"> ), </w:t>
      </w:r>
      <w:r w:rsidRPr="006034DB">
        <w:rPr>
          <w:sz w:val="24"/>
          <w:szCs w:val="24"/>
        </w:rPr>
        <w:t xml:space="preserve"> prijevozn</w:t>
      </w:r>
      <w:r w:rsidR="00EB64B8" w:rsidRPr="006034DB">
        <w:rPr>
          <w:sz w:val="24"/>
          <w:szCs w:val="24"/>
        </w:rPr>
        <w:t>og</w:t>
      </w:r>
      <w:r w:rsidR="003C63B5" w:rsidRPr="006034DB">
        <w:rPr>
          <w:sz w:val="24"/>
          <w:szCs w:val="24"/>
        </w:rPr>
        <w:t xml:space="preserve"> sredst</w:t>
      </w:r>
      <w:r w:rsidRPr="006034DB">
        <w:rPr>
          <w:sz w:val="24"/>
          <w:szCs w:val="24"/>
        </w:rPr>
        <w:t xml:space="preserve">va u cestovnom prometu u iznosu od </w:t>
      </w:r>
      <w:r w:rsidR="006034DB">
        <w:rPr>
          <w:sz w:val="24"/>
          <w:szCs w:val="24"/>
        </w:rPr>
        <w:t>59.815,00</w:t>
      </w:r>
      <w:r w:rsidRPr="006034DB">
        <w:rPr>
          <w:sz w:val="24"/>
          <w:szCs w:val="24"/>
        </w:rPr>
        <w:t xml:space="preserve"> €</w:t>
      </w:r>
      <w:r w:rsidR="00F83D14" w:rsidRPr="006034DB">
        <w:rPr>
          <w:sz w:val="24"/>
          <w:szCs w:val="24"/>
        </w:rPr>
        <w:t xml:space="preserve"> ( </w:t>
      </w:r>
      <w:r w:rsidR="00E81715">
        <w:rPr>
          <w:sz w:val="24"/>
          <w:szCs w:val="24"/>
        </w:rPr>
        <w:t xml:space="preserve">trakor, viličari  ), </w:t>
      </w:r>
      <w:r w:rsidRPr="006034DB">
        <w:rPr>
          <w:sz w:val="24"/>
          <w:szCs w:val="24"/>
        </w:rPr>
        <w:t>knjig</w:t>
      </w:r>
      <w:r w:rsidR="00F83D14" w:rsidRPr="006034DB">
        <w:rPr>
          <w:sz w:val="24"/>
          <w:szCs w:val="24"/>
        </w:rPr>
        <w:t>e</w:t>
      </w:r>
      <w:r w:rsidRPr="006034DB">
        <w:rPr>
          <w:sz w:val="24"/>
          <w:szCs w:val="24"/>
        </w:rPr>
        <w:t xml:space="preserve"> za zatvoreničku knjižnicu u iznosu od </w:t>
      </w:r>
      <w:r w:rsidR="006034DB">
        <w:rPr>
          <w:sz w:val="24"/>
          <w:szCs w:val="24"/>
        </w:rPr>
        <w:t>363,00</w:t>
      </w:r>
      <w:r w:rsidRPr="006034DB">
        <w:rPr>
          <w:sz w:val="24"/>
          <w:szCs w:val="24"/>
        </w:rPr>
        <w:t xml:space="preserve"> €, te na dodatna ulaganja na građevinskim objektima u iznosu od </w:t>
      </w:r>
      <w:r w:rsidR="00287709">
        <w:rPr>
          <w:sz w:val="24"/>
          <w:szCs w:val="24"/>
        </w:rPr>
        <w:t>50.984,78</w:t>
      </w:r>
      <w:r w:rsidRPr="006034DB">
        <w:rPr>
          <w:sz w:val="24"/>
          <w:szCs w:val="24"/>
        </w:rPr>
        <w:t xml:space="preserve"> €</w:t>
      </w:r>
      <w:r w:rsidR="00F83D14" w:rsidRPr="006034DB">
        <w:rPr>
          <w:sz w:val="24"/>
          <w:szCs w:val="24"/>
        </w:rPr>
        <w:t xml:space="preserve"> (</w:t>
      </w:r>
      <w:r w:rsidR="00F34B5D">
        <w:rPr>
          <w:sz w:val="24"/>
          <w:szCs w:val="24"/>
        </w:rPr>
        <w:t xml:space="preserve"> </w:t>
      </w:r>
      <w:r w:rsidR="00F83D14" w:rsidRPr="006034DB">
        <w:rPr>
          <w:sz w:val="24"/>
          <w:szCs w:val="24"/>
        </w:rPr>
        <w:t xml:space="preserve">ugradnja PVC stolarije </w:t>
      </w:r>
      <w:r w:rsidR="00E81715">
        <w:rPr>
          <w:sz w:val="24"/>
          <w:szCs w:val="24"/>
        </w:rPr>
        <w:t xml:space="preserve">i sanacija krovišta </w:t>
      </w:r>
      <w:r w:rsidR="00F83D14" w:rsidRPr="006034DB">
        <w:rPr>
          <w:sz w:val="24"/>
          <w:szCs w:val="24"/>
        </w:rPr>
        <w:t>na zatvorenič</w:t>
      </w:r>
      <w:r w:rsidR="00E81715">
        <w:rPr>
          <w:sz w:val="24"/>
          <w:szCs w:val="24"/>
        </w:rPr>
        <w:t>koj</w:t>
      </w:r>
      <w:r w:rsidR="00F83D14" w:rsidRPr="006034DB">
        <w:rPr>
          <w:sz w:val="24"/>
          <w:szCs w:val="24"/>
        </w:rPr>
        <w:t xml:space="preserve"> zgrad</w:t>
      </w:r>
      <w:r w:rsidR="00E81715">
        <w:rPr>
          <w:sz w:val="24"/>
          <w:szCs w:val="24"/>
        </w:rPr>
        <w:t>i</w:t>
      </w:r>
      <w:r w:rsidR="00F83D14" w:rsidRPr="006034DB">
        <w:rPr>
          <w:sz w:val="24"/>
          <w:szCs w:val="24"/>
        </w:rPr>
        <w:t xml:space="preserve"> na </w:t>
      </w:r>
      <w:r w:rsidR="00E81715">
        <w:rPr>
          <w:sz w:val="24"/>
          <w:szCs w:val="24"/>
        </w:rPr>
        <w:t>otvorenom odjelu Šuma</w:t>
      </w:r>
      <w:r w:rsidR="00F83D14" w:rsidRPr="006034DB">
        <w:rPr>
          <w:sz w:val="24"/>
          <w:szCs w:val="24"/>
        </w:rPr>
        <w:t xml:space="preserve">, </w:t>
      </w:r>
      <w:r w:rsidR="00E81715">
        <w:rPr>
          <w:sz w:val="24"/>
          <w:szCs w:val="24"/>
        </w:rPr>
        <w:t>zamjena stolarije na upravnoj zgradi drvnog pogona, izrada podloge za asfaltiranje vanjsko</w:t>
      </w:r>
      <w:r w:rsidR="004D1654">
        <w:rPr>
          <w:sz w:val="24"/>
          <w:szCs w:val="24"/>
        </w:rPr>
        <w:t xml:space="preserve">g </w:t>
      </w:r>
      <w:r w:rsidR="00E81715">
        <w:rPr>
          <w:sz w:val="24"/>
          <w:szCs w:val="24"/>
        </w:rPr>
        <w:t>parkirališta</w:t>
      </w:r>
      <w:r w:rsidR="004D1654">
        <w:rPr>
          <w:sz w:val="24"/>
          <w:szCs w:val="24"/>
        </w:rPr>
        <w:t xml:space="preserve">, limarija i vrata za objekt Pasjak, PVC vrata za sobu dežurane  </w:t>
      </w:r>
      <w:r w:rsidR="00F83D14" w:rsidRPr="006034DB">
        <w:rPr>
          <w:sz w:val="24"/>
          <w:szCs w:val="24"/>
        </w:rPr>
        <w:t>).</w:t>
      </w:r>
      <w:r w:rsidR="00044877">
        <w:rPr>
          <w:sz w:val="24"/>
          <w:szCs w:val="24"/>
        </w:rPr>
        <w:t xml:space="preserve"> U ukupnom iznosu od 363.478,76 € uključen je iznos od 23.777,00 € koji je utrošen z</w:t>
      </w:r>
      <w:r w:rsidR="00C04DB0" w:rsidRPr="00044877">
        <w:rPr>
          <w:sz w:val="24"/>
          <w:szCs w:val="24"/>
        </w:rPr>
        <w:t xml:space="preserve">a </w:t>
      </w:r>
      <w:r w:rsidR="00D42623" w:rsidRPr="00044877">
        <w:rPr>
          <w:sz w:val="24"/>
          <w:szCs w:val="24"/>
        </w:rPr>
        <w:t>poboljšanje uvjeta života zatvorenika (</w:t>
      </w:r>
      <w:r w:rsidR="00F83D14" w:rsidRPr="00044877">
        <w:rPr>
          <w:sz w:val="24"/>
          <w:szCs w:val="24"/>
        </w:rPr>
        <w:t xml:space="preserve"> </w:t>
      </w:r>
      <w:r w:rsidR="00F34B5D" w:rsidRPr="00044877">
        <w:rPr>
          <w:sz w:val="24"/>
          <w:szCs w:val="24"/>
        </w:rPr>
        <w:t>sanacija objekta na o</w:t>
      </w:r>
      <w:r w:rsidR="003122E7">
        <w:rPr>
          <w:sz w:val="24"/>
          <w:szCs w:val="24"/>
        </w:rPr>
        <w:t>tvorenom odjelu Šuma, EKG uređa</w:t>
      </w:r>
      <w:r w:rsidR="00F34B5D" w:rsidRPr="00044877">
        <w:rPr>
          <w:sz w:val="24"/>
          <w:szCs w:val="24"/>
        </w:rPr>
        <w:t xml:space="preserve">j i knjige </w:t>
      </w:r>
      <w:r w:rsidR="00D42623" w:rsidRPr="00044877">
        <w:rPr>
          <w:sz w:val="24"/>
          <w:szCs w:val="24"/>
        </w:rPr>
        <w:t>)</w:t>
      </w:r>
      <w:r w:rsidR="00F34B5D" w:rsidRPr="00044877">
        <w:rPr>
          <w:sz w:val="24"/>
          <w:szCs w:val="24"/>
        </w:rPr>
        <w:t>.</w:t>
      </w:r>
    </w:p>
    <w:p w14:paraId="1B8D12BE" w14:textId="77777777" w:rsidR="00665836" w:rsidRPr="00C16A20" w:rsidRDefault="00665836" w:rsidP="00665836">
      <w:pPr>
        <w:jc w:val="left"/>
        <w:rPr>
          <w:sz w:val="24"/>
          <w:szCs w:val="24"/>
        </w:rPr>
      </w:pPr>
    </w:p>
    <w:p w14:paraId="4379DF5C" w14:textId="41AADC7F" w:rsidR="00B63AC9" w:rsidRDefault="002E519F" w:rsidP="002E1CD1">
      <w:pPr>
        <w:spacing w:line="276" w:lineRule="auto"/>
        <w:rPr>
          <w:sz w:val="24"/>
          <w:szCs w:val="24"/>
        </w:rPr>
      </w:pPr>
      <w:r w:rsidRPr="007F2A5B">
        <w:rPr>
          <w:b/>
          <w:sz w:val="24"/>
          <w:szCs w:val="24"/>
          <w:u w:val="single"/>
        </w:rPr>
        <w:t>Izvor 52</w:t>
      </w:r>
      <w:r w:rsidR="00D02C9A" w:rsidRPr="007F2A5B">
        <w:rPr>
          <w:sz w:val="24"/>
          <w:szCs w:val="24"/>
        </w:rPr>
        <w:t xml:space="preserve"> </w:t>
      </w:r>
      <w:r w:rsidR="002E6FC0" w:rsidRPr="007F2A5B">
        <w:rPr>
          <w:sz w:val="24"/>
          <w:szCs w:val="24"/>
        </w:rPr>
        <w:t>–</w:t>
      </w:r>
      <w:r w:rsidR="00D02C9A" w:rsidRPr="007F2A5B">
        <w:rPr>
          <w:sz w:val="24"/>
          <w:szCs w:val="24"/>
        </w:rPr>
        <w:t xml:space="preserve"> </w:t>
      </w:r>
      <w:r w:rsidR="00B63AC9">
        <w:rPr>
          <w:sz w:val="24"/>
          <w:szCs w:val="24"/>
        </w:rPr>
        <w:t>ostale pomoći ostvarene su u iznosu od 76.573,97 € a odnose se na:</w:t>
      </w:r>
    </w:p>
    <w:p w14:paraId="1BCEC0C7" w14:textId="21A9E1DA" w:rsidR="002B3102" w:rsidRPr="00B63AC9" w:rsidRDefault="00B63AC9" w:rsidP="00B63AC9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63AC9">
        <w:rPr>
          <w:sz w:val="24"/>
          <w:szCs w:val="24"/>
        </w:rPr>
        <w:t>Sredstava  u iz</w:t>
      </w:r>
      <w:r>
        <w:rPr>
          <w:sz w:val="24"/>
          <w:szCs w:val="24"/>
        </w:rPr>
        <w:t>nosu od 37.425,00 € doznačenih</w:t>
      </w:r>
      <w:r w:rsidRPr="00B63AC9">
        <w:rPr>
          <w:sz w:val="24"/>
          <w:szCs w:val="24"/>
        </w:rPr>
        <w:t xml:space="preserve"> od Fonda za zaštitu okoliša i energetsku učinkovitost temeljem potpisanog ugovora o neposrednom sudjelovanju Fonda u sufinanciranju nabave uređaja za sprječavanje nastanka bio otpada (otpada od hrane)- aerobni digestor, u kojem je Fond sudjelovao sa 60% ukupne nabavne vrijednosti aerobnog digestora.</w:t>
      </w:r>
    </w:p>
    <w:p w14:paraId="3DD65299" w14:textId="2FCE6151" w:rsidR="00B63AC9" w:rsidRPr="005C5051" w:rsidRDefault="00B63AC9" w:rsidP="00B63AC9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Sredstva </w:t>
      </w:r>
      <w:r w:rsidR="005C5051">
        <w:rPr>
          <w:sz w:val="24"/>
          <w:szCs w:val="24"/>
        </w:rPr>
        <w:t xml:space="preserve">u iznosu od 39.148,97 € </w:t>
      </w:r>
      <w:r>
        <w:rPr>
          <w:sz w:val="24"/>
          <w:szCs w:val="24"/>
        </w:rPr>
        <w:t>uplaćen</w:t>
      </w:r>
      <w:r w:rsidR="005C5051">
        <w:rPr>
          <w:sz w:val="24"/>
          <w:szCs w:val="24"/>
        </w:rPr>
        <w:t xml:space="preserve">ih </w:t>
      </w:r>
      <w:r>
        <w:rPr>
          <w:sz w:val="24"/>
          <w:szCs w:val="24"/>
        </w:rPr>
        <w:t>od</w:t>
      </w:r>
      <w:r w:rsidR="005C5051">
        <w:rPr>
          <w:sz w:val="24"/>
          <w:szCs w:val="24"/>
        </w:rPr>
        <w:t xml:space="preserve"> strane</w:t>
      </w:r>
      <w:r>
        <w:rPr>
          <w:sz w:val="24"/>
          <w:szCs w:val="24"/>
        </w:rPr>
        <w:t xml:space="preserve"> </w:t>
      </w:r>
      <w:r w:rsidRPr="00B63AC9">
        <w:rPr>
          <w:sz w:val="24"/>
          <w:szCs w:val="24"/>
        </w:rPr>
        <w:t>Agencij</w:t>
      </w:r>
      <w:r>
        <w:rPr>
          <w:sz w:val="24"/>
          <w:szCs w:val="24"/>
        </w:rPr>
        <w:t>e</w:t>
      </w:r>
      <w:r w:rsidRPr="00B63AC9">
        <w:rPr>
          <w:sz w:val="24"/>
          <w:szCs w:val="24"/>
        </w:rPr>
        <w:t xml:space="preserve"> za plaćanja u poljoprivredi, ribarstvu i ruralnom razvoju ( APPRRR ) </w:t>
      </w:r>
      <w:r w:rsidR="005C5051">
        <w:rPr>
          <w:sz w:val="24"/>
          <w:szCs w:val="24"/>
        </w:rPr>
        <w:t xml:space="preserve">od čega se 8.479,34 € </w:t>
      </w:r>
      <w:r w:rsidRPr="005C5051">
        <w:rPr>
          <w:sz w:val="24"/>
          <w:szCs w:val="24"/>
        </w:rPr>
        <w:t xml:space="preserve"> odnosi na sredstva dobivena iz hrvatskih fondova a iznos od 30.669,63 € odnosi se na sredstva dobivena iz EU fondova ( sva novčana sredstva doznačena su posredstvom APPRRR ). Doznačena sredstva su namjenska i koriste se isključivo za potrebe pododsjeka radionice poljoprivrede.</w:t>
      </w:r>
    </w:p>
    <w:sectPr w:rsidR="00B63AC9" w:rsidRPr="005C5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0A6F"/>
    <w:multiLevelType w:val="hybridMultilevel"/>
    <w:tmpl w:val="CADE61B0"/>
    <w:lvl w:ilvl="0" w:tplc="5AF62A1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208AF"/>
    <w:rsid w:val="00025C87"/>
    <w:rsid w:val="00036004"/>
    <w:rsid w:val="00044877"/>
    <w:rsid w:val="000822A2"/>
    <w:rsid w:val="00082BE5"/>
    <w:rsid w:val="000864D1"/>
    <w:rsid w:val="00092A36"/>
    <w:rsid w:val="000A4D6A"/>
    <w:rsid w:val="000B1CBD"/>
    <w:rsid w:val="000D560B"/>
    <w:rsid w:val="000E4DF7"/>
    <w:rsid w:val="000F7AF5"/>
    <w:rsid w:val="00102F7C"/>
    <w:rsid w:val="00105318"/>
    <w:rsid w:val="0011141C"/>
    <w:rsid w:val="001247E6"/>
    <w:rsid w:val="00125808"/>
    <w:rsid w:val="00127057"/>
    <w:rsid w:val="00143E8D"/>
    <w:rsid w:val="001448DD"/>
    <w:rsid w:val="001906E2"/>
    <w:rsid w:val="001B6C1A"/>
    <w:rsid w:val="001C051D"/>
    <w:rsid w:val="001C06AC"/>
    <w:rsid w:val="001E76CC"/>
    <w:rsid w:val="001F67ED"/>
    <w:rsid w:val="00203EDE"/>
    <w:rsid w:val="0020757E"/>
    <w:rsid w:val="00214531"/>
    <w:rsid w:val="00220639"/>
    <w:rsid w:val="0022249E"/>
    <w:rsid w:val="002301E5"/>
    <w:rsid w:val="00245BD6"/>
    <w:rsid w:val="00246D08"/>
    <w:rsid w:val="002671F3"/>
    <w:rsid w:val="00285983"/>
    <w:rsid w:val="00287709"/>
    <w:rsid w:val="002A5463"/>
    <w:rsid w:val="002B3102"/>
    <w:rsid w:val="002C2C31"/>
    <w:rsid w:val="002D47DE"/>
    <w:rsid w:val="002E19EB"/>
    <w:rsid w:val="002E1CD1"/>
    <w:rsid w:val="002E40C8"/>
    <w:rsid w:val="002E519F"/>
    <w:rsid w:val="002E6FC0"/>
    <w:rsid w:val="002F26AE"/>
    <w:rsid w:val="003122E7"/>
    <w:rsid w:val="00321B75"/>
    <w:rsid w:val="00336A81"/>
    <w:rsid w:val="0034020E"/>
    <w:rsid w:val="003567CB"/>
    <w:rsid w:val="003666A2"/>
    <w:rsid w:val="003C63B5"/>
    <w:rsid w:val="003E5E94"/>
    <w:rsid w:val="003E76DC"/>
    <w:rsid w:val="003F65D4"/>
    <w:rsid w:val="00420ACA"/>
    <w:rsid w:val="00423984"/>
    <w:rsid w:val="00433575"/>
    <w:rsid w:val="00447C90"/>
    <w:rsid w:val="00451FD7"/>
    <w:rsid w:val="0048794C"/>
    <w:rsid w:val="004A5EAF"/>
    <w:rsid w:val="004B32C6"/>
    <w:rsid w:val="004B3431"/>
    <w:rsid w:val="004C4D80"/>
    <w:rsid w:val="004D1654"/>
    <w:rsid w:val="004F0CE3"/>
    <w:rsid w:val="0052169A"/>
    <w:rsid w:val="0053119B"/>
    <w:rsid w:val="00545A38"/>
    <w:rsid w:val="00546328"/>
    <w:rsid w:val="005473BC"/>
    <w:rsid w:val="00562D8E"/>
    <w:rsid w:val="0058748A"/>
    <w:rsid w:val="005C5051"/>
    <w:rsid w:val="005D412F"/>
    <w:rsid w:val="005D5653"/>
    <w:rsid w:val="005E6073"/>
    <w:rsid w:val="005E7265"/>
    <w:rsid w:val="005F294D"/>
    <w:rsid w:val="005F6067"/>
    <w:rsid w:val="006034DB"/>
    <w:rsid w:val="00610D62"/>
    <w:rsid w:val="0061283E"/>
    <w:rsid w:val="00626790"/>
    <w:rsid w:val="00633836"/>
    <w:rsid w:val="00642B64"/>
    <w:rsid w:val="00665836"/>
    <w:rsid w:val="00682EA5"/>
    <w:rsid w:val="00685702"/>
    <w:rsid w:val="006B30D5"/>
    <w:rsid w:val="006D0352"/>
    <w:rsid w:val="006D19EE"/>
    <w:rsid w:val="006E66D1"/>
    <w:rsid w:val="006F1566"/>
    <w:rsid w:val="006F5BFA"/>
    <w:rsid w:val="00702E47"/>
    <w:rsid w:val="00715421"/>
    <w:rsid w:val="007246B2"/>
    <w:rsid w:val="00726A13"/>
    <w:rsid w:val="007276FE"/>
    <w:rsid w:val="00730819"/>
    <w:rsid w:val="00747AE5"/>
    <w:rsid w:val="007568F1"/>
    <w:rsid w:val="007751BE"/>
    <w:rsid w:val="00780A30"/>
    <w:rsid w:val="0079156F"/>
    <w:rsid w:val="007A3F1F"/>
    <w:rsid w:val="007B2A73"/>
    <w:rsid w:val="007B770D"/>
    <w:rsid w:val="007C25AF"/>
    <w:rsid w:val="007D4E0C"/>
    <w:rsid w:val="007E258A"/>
    <w:rsid w:val="007F2A5B"/>
    <w:rsid w:val="00802E9F"/>
    <w:rsid w:val="00834D89"/>
    <w:rsid w:val="00846638"/>
    <w:rsid w:val="0085471D"/>
    <w:rsid w:val="0085497A"/>
    <w:rsid w:val="00883561"/>
    <w:rsid w:val="008B68BC"/>
    <w:rsid w:val="008C3A41"/>
    <w:rsid w:val="008D620A"/>
    <w:rsid w:val="008E11DA"/>
    <w:rsid w:val="008F1913"/>
    <w:rsid w:val="008F4791"/>
    <w:rsid w:val="008F7B70"/>
    <w:rsid w:val="00907DE9"/>
    <w:rsid w:val="00913B69"/>
    <w:rsid w:val="00942D8F"/>
    <w:rsid w:val="00944E93"/>
    <w:rsid w:val="00946E6E"/>
    <w:rsid w:val="00961E62"/>
    <w:rsid w:val="00983755"/>
    <w:rsid w:val="0098542F"/>
    <w:rsid w:val="00992A6C"/>
    <w:rsid w:val="009C78B2"/>
    <w:rsid w:val="009D5A73"/>
    <w:rsid w:val="00A0494A"/>
    <w:rsid w:val="00A51F15"/>
    <w:rsid w:val="00A52EED"/>
    <w:rsid w:val="00A56673"/>
    <w:rsid w:val="00A6165A"/>
    <w:rsid w:val="00A647C0"/>
    <w:rsid w:val="00A92045"/>
    <w:rsid w:val="00AA633A"/>
    <w:rsid w:val="00AB43FA"/>
    <w:rsid w:val="00AD1AC2"/>
    <w:rsid w:val="00B141F6"/>
    <w:rsid w:val="00B16197"/>
    <w:rsid w:val="00B17E51"/>
    <w:rsid w:val="00B233FC"/>
    <w:rsid w:val="00B3062C"/>
    <w:rsid w:val="00B34268"/>
    <w:rsid w:val="00B44CEF"/>
    <w:rsid w:val="00B555F1"/>
    <w:rsid w:val="00B5787C"/>
    <w:rsid w:val="00B6022D"/>
    <w:rsid w:val="00B6067E"/>
    <w:rsid w:val="00B63AC9"/>
    <w:rsid w:val="00B71F85"/>
    <w:rsid w:val="00B72BF0"/>
    <w:rsid w:val="00B837A5"/>
    <w:rsid w:val="00B8661F"/>
    <w:rsid w:val="00B901A9"/>
    <w:rsid w:val="00BA6909"/>
    <w:rsid w:val="00BD148C"/>
    <w:rsid w:val="00BE1188"/>
    <w:rsid w:val="00C04DB0"/>
    <w:rsid w:val="00C053D7"/>
    <w:rsid w:val="00C16A20"/>
    <w:rsid w:val="00C40A0A"/>
    <w:rsid w:val="00C41928"/>
    <w:rsid w:val="00C55DDC"/>
    <w:rsid w:val="00C56F97"/>
    <w:rsid w:val="00C8380E"/>
    <w:rsid w:val="00CA16CE"/>
    <w:rsid w:val="00CC530A"/>
    <w:rsid w:val="00CC7FFA"/>
    <w:rsid w:val="00CD67B5"/>
    <w:rsid w:val="00CE5FF4"/>
    <w:rsid w:val="00CF6B4D"/>
    <w:rsid w:val="00D02C9A"/>
    <w:rsid w:val="00D23F03"/>
    <w:rsid w:val="00D27D48"/>
    <w:rsid w:val="00D339C7"/>
    <w:rsid w:val="00D42623"/>
    <w:rsid w:val="00D52131"/>
    <w:rsid w:val="00D52174"/>
    <w:rsid w:val="00D67468"/>
    <w:rsid w:val="00D721A3"/>
    <w:rsid w:val="00D7443D"/>
    <w:rsid w:val="00D82261"/>
    <w:rsid w:val="00D8378D"/>
    <w:rsid w:val="00D95F3B"/>
    <w:rsid w:val="00D97728"/>
    <w:rsid w:val="00D97DFF"/>
    <w:rsid w:val="00D97E9A"/>
    <w:rsid w:val="00DA0242"/>
    <w:rsid w:val="00DA76FE"/>
    <w:rsid w:val="00DB689C"/>
    <w:rsid w:val="00DD56FF"/>
    <w:rsid w:val="00DF7781"/>
    <w:rsid w:val="00E105E6"/>
    <w:rsid w:val="00E37522"/>
    <w:rsid w:val="00E57F46"/>
    <w:rsid w:val="00E81715"/>
    <w:rsid w:val="00E8270E"/>
    <w:rsid w:val="00E94109"/>
    <w:rsid w:val="00EA387B"/>
    <w:rsid w:val="00EA3DA3"/>
    <w:rsid w:val="00EB64B8"/>
    <w:rsid w:val="00EC7C7A"/>
    <w:rsid w:val="00ED3662"/>
    <w:rsid w:val="00EE6B33"/>
    <w:rsid w:val="00F0265C"/>
    <w:rsid w:val="00F34B5D"/>
    <w:rsid w:val="00F42F4E"/>
    <w:rsid w:val="00F5287C"/>
    <w:rsid w:val="00F52A12"/>
    <w:rsid w:val="00F605D2"/>
    <w:rsid w:val="00F82283"/>
    <w:rsid w:val="00F83D14"/>
    <w:rsid w:val="00F87F5C"/>
    <w:rsid w:val="00F9492F"/>
    <w:rsid w:val="00FC57A5"/>
    <w:rsid w:val="00FC6664"/>
    <w:rsid w:val="00FD2A0E"/>
    <w:rsid w:val="00FD7CB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Ana Erlač</cp:lastModifiedBy>
  <cp:revision>2</cp:revision>
  <cp:lastPrinted>2023-05-24T12:10:00Z</cp:lastPrinted>
  <dcterms:created xsi:type="dcterms:W3CDTF">2026-04-14T07:25:00Z</dcterms:created>
  <dcterms:modified xsi:type="dcterms:W3CDTF">2026-04-14T07:25:00Z</dcterms:modified>
</cp:coreProperties>
</file>